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A8A94" w14:textId="44A94287" w:rsidR="00E043B8" w:rsidRDefault="00A91231">
      <w:r>
        <w:rPr>
          <w:noProof/>
          <w:lang w:eastAsia="cs-CZ"/>
        </w:rPr>
        <w:drawing>
          <wp:anchor distT="0" distB="0" distL="114300" distR="114300" simplePos="0" relativeHeight="251658240" behindDoc="0" locked="0" layoutInCell="1" allowOverlap="1" wp14:anchorId="49EA8B7C" wp14:editId="4DBBD13D">
            <wp:simplePos x="0" y="0"/>
            <wp:positionH relativeFrom="column">
              <wp:posOffset>4110356</wp:posOffset>
            </wp:positionH>
            <wp:positionV relativeFrom="paragraph">
              <wp:posOffset>-1325880</wp:posOffset>
            </wp:positionV>
            <wp:extent cx="2584996" cy="11133086"/>
            <wp:effectExtent l="0" t="0" r="635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PI final grafik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6094" cy="11137816"/>
                    </a:xfrm>
                    <a:prstGeom prst="rect">
                      <a:avLst/>
                    </a:prstGeom>
                  </pic:spPr>
                </pic:pic>
              </a:graphicData>
            </a:graphic>
            <wp14:sizeRelH relativeFrom="margin">
              <wp14:pctWidth>0</wp14:pctWidth>
            </wp14:sizeRelH>
            <wp14:sizeRelV relativeFrom="margin">
              <wp14:pctHeight>0</wp14:pctHeight>
            </wp14:sizeRelV>
          </wp:anchor>
        </w:drawing>
      </w:r>
      <w:r w:rsidR="00E66DE8">
        <w:rPr>
          <w:noProof/>
          <w:lang w:eastAsia="cs-CZ"/>
        </w:rPr>
        <w:drawing>
          <wp:anchor distT="0" distB="0" distL="114300" distR="114300" simplePos="0" relativeHeight="251658243" behindDoc="0" locked="0" layoutInCell="1" allowOverlap="1" wp14:anchorId="49EA8B7A" wp14:editId="1125BE7D">
            <wp:simplePos x="0" y="0"/>
            <wp:positionH relativeFrom="column">
              <wp:posOffset>224155</wp:posOffset>
            </wp:positionH>
            <wp:positionV relativeFrom="paragraph">
              <wp:posOffset>113030</wp:posOffset>
            </wp:positionV>
            <wp:extent cx="3105150" cy="14097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y vzdělávání.jpg"/>
                    <pic:cNvPicPr/>
                  </pic:nvPicPr>
                  <pic:blipFill>
                    <a:blip r:embed="rId12">
                      <a:extLst>
                        <a:ext uri="{28A0092B-C50C-407E-A947-70E740481C1C}">
                          <a14:useLocalDpi xmlns:a14="http://schemas.microsoft.com/office/drawing/2010/main" val="0"/>
                        </a:ext>
                      </a:extLst>
                    </a:blip>
                    <a:stretch>
                      <a:fillRect/>
                    </a:stretch>
                  </pic:blipFill>
                  <pic:spPr>
                    <a:xfrm>
                      <a:off x="0" y="0"/>
                      <a:ext cx="3105150" cy="1409700"/>
                    </a:xfrm>
                    <a:prstGeom prst="rect">
                      <a:avLst/>
                    </a:prstGeom>
                  </pic:spPr>
                </pic:pic>
              </a:graphicData>
            </a:graphic>
            <wp14:sizeRelH relativeFrom="page">
              <wp14:pctWidth>0</wp14:pctWidth>
            </wp14:sizeRelH>
            <wp14:sizeRelV relativeFrom="page">
              <wp14:pctHeight>0</wp14:pctHeight>
            </wp14:sizeRelV>
          </wp:anchor>
        </w:drawing>
      </w:r>
    </w:p>
    <w:p w14:paraId="49EA8A95" w14:textId="77777777" w:rsidR="005030E0" w:rsidRDefault="005030E0"/>
    <w:p w14:paraId="49EA8A96" w14:textId="77777777" w:rsidR="00207A43" w:rsidRDefault="00207A43"/>
    <w:p w14:paraId="49EA8A97" w14:textId="77777777" w:rsidR="005030E0" w:rsidRDefault="005030E0"/>
    <w:p w14:paraId="49EA8A98" w14:textId="77777777" w:rsidR="005030E0" w:rsidRDefault="005030E0"/>
    <w:p w14:paraId="49EA8A99" w14:textId="77777777" w:rsidR="00207A43" w:rsidRDefault="00207A43"/>
    <w:p w14:paraId="49EA8A9A" w14:textId="77777777" w:rsidR="00207A43" w:rsidRDefault="00207A43"/>
    <w:p w14:paraId="49EA8A9B" w14:textId="77777777" w:rsidR="00207A43" w:rsidRDefault="00207A43"/>
    <w:p w14:paraId="49EA8A9C" w14:textId="77777777" w:rsidR="00207A43" w:rsidRDefault="00207A43"/>
    <w:p w14:paraId="49EA8A9D" w14:textId="77777777" w:rsidR="00207A43" w:rsidRDefault="00E66DE8">
      <w:r>
        <w:rPr>
          <w:noProof/>
          <w:lang w:eastAsia="cs-CZ"/>
        </w:rPr>
        <mc:AlternateContent>
          <mc:Choice Requires="wps">
            <w:drawing>
              <wp:anchor distT="45720" distB="45720" distL="114300" distR="114300" simplePos="0" relativeHeight="251658242" behindDoc="0" locked="0" layoutInCell="1" allowOverlap="1" wp14:anchorId="49EA8B7E" wp14:editId="49EA8B7F">
                <wp:simplePos x="0" y="0"/>
                <wp:positionH relativeFrom="column">
                  <wp:posOffset>-556895</wp:posOffset>
                </wp:positionH>
                <wp:positionV relativeFrom="paragraph">
                  <wp:posOffset>161925</wp:posOffset>
                </wp:positionV>
                <wp:extent cx="4619625" cy="666750"/>
                <wp:effectExtent l="0" t="0" r="9525" b="0"/>
                <wp:wrapSquare wrapText="bothSides"/>
                <wp:docPr id="3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666750"/>
                        </a:xfrm>
                        <a:prstGeom prst="rect">
                          <a:avLst/>
                        </a:prstGeom>
                        <a:solidFill>
                          <a:srgbClr val="FFFFFF"/>
                        </a:solidFill>
                        <a:ln w="9525">
                          <a:noFill/>
                          <a:miter lim="800000"/>
                          <a:headEnd/>
                          <a:tailEnd/>
                        </a:ln>
                      </wps:spPr>
                      <wps:txbx>
                        <w:txbxContent>
                          <w:p w14:paraId="49EA8B92" w14:textId="77777777" w:rsidR="001A0BB6" w:rsidRPr="002B24B5" w:rsidRDefault="001A0BB6" w:rsidP="001A0BB6">
                            <w:pPr>
                              <w:jc w:val="center"/>
                              <w:rPr>
                                <w:b/>
                                <w:color w:val="538135" w:themeColor="accent6" w:themeShade="BF"/>
                                <w:sz w:val="76"/>
                                <w:szCs w:val="76"/>
                              </w:rPr>
                            </w:pPr>
                            <w:r w:rsidRPr="002B24B5">
                              <w:rPr>
                                <w:b/>
                                <w:color w:val="538135" w:themeColor="accent6" w:themeShade="BF"/>
                                <w:sz w:val="76"/>
                                <w:szCs w:val="76"/>
                              </w:rPr>
                              <w:t xml:space="preserve">KOMUNIKAČNÍ PLÁN </w:t>
                            </w:r>
                          </w:p>
                          <w:p w14:paraId="49EA8B93" w14:textId="77777777" w:rsidR="001A0BB6" w:rsidRPr="00CF6E3B" w:rsidRDefault="001A0B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EA8B7E" id="_x0000_t202" coordsize="21600,21600" o:spt="202" path="m,l,21600r21600,l21600,xe">
                <v:stroke joinstyle="miter"/>
                <v:path gradientshapeok="t" o:connecttype="rect"/>
              </v:shapetype>
              <v:shape id="Textové pole 2" o:spid="_x0000_s1026" type="#_x0000_t202" style="position:absolute;margin-left:-43.85pt;margin-top:12.75pt;width:363.75pt;height:5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" stroked="f">
                <v:textbox>
                  <w:txbxContent>
                    <w:p w14:paraId="49EA8B92" w14:textId="77777777" w:rsidR="001A0BB6" w:rsidRPr="002B24B5" w:rsidRDefault="001A0BB6" w:rsidP="001A0BB6">
                      <w:pPr>
                        <w:jc w:val="center"/>
                        <w:rPr>
                          <w:b/>
                          <w:color w:val="538135" w:themeColor="accent6" w:themeShade="BF"/>
                          <w:sz w:val="76"/>
                          <w:szCs w:val="76"/>
                        </w:rPr>
                      </w:pPr>
                      <w:r w:rsidRPr="002B24B5">
                        <w:rPr>
                          <w:b/>
                          <w:color w:val="538135" w:themeColor="accent6" w:themeShade="BF"/>
                          <w:sz w:val="76"/>
                          <w:szCs w:val="76"/>
                        </w:rPr>
                        <w:t xml:space="preserve">KOMUNIKAČNÍ PLÁN </w:t>
                      </w:r>
                    </w:p>
                    <w:p w14:paraId="49EA8B93" w14:textId="77777777" w:rsidR="001A0BB6" w:rsidRPr="00CF6E3B" w:rsidRDefault="001A0BB6"/>
                  </w:txbxContent>
                </v:textbox>
                <w10:wrap type="square"/>
              </v:shape>
            </w:pict>
          </mc:Fallback>
        </mc:AlternateContent>
      </w:r>
    </w:p>
    <w:p w14:paraId="49EA8A9E" w14:textId="77777777" w:rsidR="00207A43" w:rsidRDefault="00207A43"/>
    <w:p w14:paraId="49EA8A9F" w14:textId="613BD6AF" w:rsidR="00207A43" w:rsidRDefault="005B1DE9">
      <w:r>
        <w:rPr>
          <w:noProof/>
          <w:lang w:eastAsia="cs-CZ"/>
        </w:rPr>
        <mc:AlternateContent>
          <mc:Choice Requires="wps">
            <w:drawing>
              <wp:anchor distT="45720" distB="45720" distL="114300" distR="114300" simplePos="0" relativeHeight="251658241" behindDoc="0" locked="0" layoutInCell="1" allowOverlap="1" wp14:anchorId="49EA8B80" wp14:editId="3978E670">
                <wp:simplePos x="0" y="0"/>
                <wp:positionH relativeFrom="column">
                  <wp:posOffset>-362585</wp:posOffset>
                </wp:positionH>
                <wp:positionV relativeFrom="paragraph">
                  <wp:posOffset>327660</wp:posOffset>
                </wp:positionV>
                <wp:extent cx="4362450" cy="1404620"/>
                <wp:effectExtent l="0" t="0" r="0" b="508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404620"/>
                        </a:xfrm>
                        <a:prstGeom prst="rect">
                          <a:avLst/>
                        </a:prstGeom>
                        <a:solidFill>
                          <a:srgbClr val="FFFFFF"/>
                        </a:solidFill>
                        <a:ln w="9525">
                          <a:noFill/>
                          <a:miter lim="800000"/>
                          <a:headEnd/>
                          <a:tailEnd/>
                        </a:ln>
                      </wps:spPr>
                      <wps:txbx>
                        <w:txbxContent>
                          <w:p w14:paraId="780720A2" w14:textId="77777777" w:rsidR="005B1DE9" w:rsidRDefault="005B1DE9" w:rsidP="005B1DE9">
                            <w:pPr>
                              <w:spacing w:after="200" w:line="276" w:lineRule="auto"/>
                              <w:jc w:val="center"/>
                              <w:rPr>
                                <w:rFonts w:cs="Arial"/>
                                <w:b/>
                                <w:color w:val="A5A5A5" w:themeColor="accent3"/>
                                <w:sz w:val="52"/>
                                <w:szCs w:val="5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47BDCCA" w14:textId="77777777" w:rsidR="005B1DE9" w:rsidRDefault="005B1DE9" w:rsidP="005B1DE9">
                            <w:pPr>
                              <w:spacing w:after="200" w:line="276" w:lineRule="auto"/>
                              <w:jc w:val="center"/>
                              <w:rPr>
                                <w:rFonts w:cs="Arial"/>
                                <w:b/>
                                <w:color w:val="A5A5A5"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ED207A0" w14:textId="77777777" w:rsidR="005B1DE9" w:rsidRPr="00BD5ED2" w:rsidRDefault="005B1DE9" w:rsidP="005B1DE9">
                            <w:pPr>
                              <w:spacing w:after="200" w:line="276" w:lineRule="auto"/>
                              <w:jc w:val="center"/>
                              <w:rPr>
                                <w:rFonts w:cs="Arial"/>
                                <w:b/>
                                <w:color w:val="A5A5A5"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A5B96E1" w14:textId="09AE7171" w:rsidR="005B1DE9" w:rsidRDefault="005B1DE9" w:rsidP="005B1DE9">
                            <w:pPr>
                              <w:spacing w:after="200" w:line="276" w:lineRule="auto"/>
                              <w:jc w:val="center"/>
                              <w:rPr>
                                <w:rFonts w:ascii="Arial" w:hAnsi="Arial" w:cs="Arial"/>
                                <w:b/>
                                <w:color w:val="3A5925"/>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112CE">
                              <w:rPr>
                                <w:rFonts w:cs="Arial"/>
                                <w:b/>
                                <w:color w:val="3A5925"/>
                                <w:sz w:val="52"/>
                                <w:szCs w:val="5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Místní akční plán pro ORP Jablunkov I</w:t>
                            </w:r>
                            <w:r>
                              <w:rPr>
                                <w:rFonts w:cs="Arial"/>
                                <w:b/>
                                <w:color w:val="3A5925"/>
                                <w:sz w:val="52"/>
                                <w:szCs w:val="5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w:t>
                            </w:r>
                            <w:r w:rsidRPr="003112CE">
                              <w:rPr>
                                <w:rFonts w:cs="Arial"/>
                                <w:b/>
                                <w:color w:val="3A5925"/>
                                <w:sz w:val="52"/>
                                <w:szCs w:val="5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3112CE">
                              <w:rPr>
                                <w:rFonts w:cs="Arial"/>
                                <w:b/>
                                <w:color w:val="3A5925"/>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reg. č. projektu</w:t>
                            </w:r>
                            <w:r>
                              <w:rPr>
                                <w:rFonts w:cs="Arial"/>
                                <w:b/>
                                <w:color w:val="3A5925"/>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3112CE">
                              <w:rPr>
                                <w:color w:val="3A5925"/>
                              </w:rPr>
                              <w:t xml:space="preserve"> </w:t>
                            </w:r>
                            <w:r>
                              <w:t xml:space="preserve"> </w:t>
                            </w:r>
                            <w:r w:rsidR="00215675" w:rsidRPr="00215675">
                              <w:rPr>
                                <w:rFonts w:cs="Arial"/>
                                <w:b/>
                                <w:color w:val="3A5925"/>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CZ.02.02.XX/00/23_017/0008883</w:t>
                            </w:r>
                          </w:p>
                          <w:p w14:paraId="16B7F1FC" w14:textId="77777777" w:rsidR="005B1DE9" w:rsidRDefault="005B1DE9" w:rsidP="005B1DE9">
                            <w:pPr>
                              <w:spacing w:after="200" w:line="276" w:lineRule="auto"/>
                              <w:jc w:val="center"/>
                              <w:rPr>
                                <w:rFonts w:ascii="Arial" w:hAnsi="Arial" w:cs="Arial"/>
                                <w:b/>
                                <w:color w:val="3A5925"/>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9CB0586" w14:textId="00A9CCF6" w:rsidR="005B1DE9" w:rsidRPr="00F8166C" w:rsidRDefault="005B1DE9" w:rsidP="005B1DE9">
                            <w:pPr>
                              <w:jc w:val="center"/>
                              <w:rPr>
                                <w:color w:val="FF0000"/>
                              </w:rPr>
                            </w:pPr>
                            <w:r w:rsidRPr="00F8166C">
                              <w:rPr>
                                <w:color w:val="FF0000"/>
                              </w:rPr>
                              <w:t xml:space="preserve">Aktualizace schválena ŘV dne </w:t>
                            </w:r>
                            <w:r w:rsidR="00A31B26">
                              <w:rPr>
                                <w:color w:val="FF0000"/>
                              </w:rPr>
                              <w:t>19</w:t>
                            </w:r>
                            <w:r w:rsidRPr="00F8166C">
                              <w:rPr>
                                <w:color w:val="FF0000"/>
                              </w:rPr>
                              <w:t xml:space="preserve">. </w:t>
                            </w:r>
                            <w:r>
                              <w:rPr>
                                <w:color w:val="FF0000"/>
                              </w:rPr>
                              <w:t>0</w:t>
                            </w:r>
                            <w:r w:rsidR="00A31B26">
                              <w:rPr>
                                <w:color w:val="FF0000"/>
                              </w:rPr>
                              <w:t>9</w:t>
                            </w:r>
                            <w:r w:rsidRPr="00F8166C">
                              <w:rPr>
                                <w:color w:val="FF0000"/>
                              </w:rPr>
                              <w:t>. 202</w:t>
                            </w:r>
                            <w:r>
                              <w:rPr>
                                <w:color w:val="FF0000"/>
                              </w:rPr>
                              <w:t>4</w:t>
                            </w:r>
                            <w:r w:rsidRPr="00F8166C">
                              <w:rPr>
                                <w:color w:val="FF0000"/>
                              </w:rPr>
                              <w:t>.</w:t>
                            </w:r>
                          </w:p>
                          <w:p w14:paraId="49EA8B97" w14:textId="67BE68E0" w:rsidR="001A0BB6" w:rsidRPr="00510162" w:rsidRDefault="001A0BB6" w:rsidP="0005563A">
                            <w:pPr>
                              <w:spacing w:after="0" w:line="276" w:lineRule="auto"/>
                              <w:jc w:val="center"/>
                              <w:rPr>
                                <w:b/>
                                <w:color w:val="385623" w:themeColor="accent6" w:themeShade="80"/>
                                <w:sz w:val="40"/>
                                <w:szCs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EA8B80" id="_x0000_s1027" type="#_x0000_t202" style="position:absolute;margin-left:-28.55pt;margin-top:25.8pt;width:343.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" stroked="f">
                <v:textbox style="mso-fit-shape-to-text:t">
                  <w:txbxContent>
                    <w:p w14:paraId="780720A2" w14:textId="77777777" w:rsidR="005B1DE9" w:rsidRDefault="005B1DE9" w:rsidP="005B1DE9">
                      <w:pPr>
                        <w:spacing w:after="200" w:line="276" w:lineRule="auto"/>
                        <w:jc w:val="center"/>
                        <w:rPr>
                          <w:rFonts w:cs="Arial"/>
                          <w:b/>
                          <w:color w:val="A5A5A5" w:themeColor="accent3"/>
                          <w:sz w:val="52"/>
                          <w:szCs w:val="5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47BDCCA" w14:textId="77777777" w:rsidR="005B1DE9" w:rsidRDefault="005B1DE9" w:rsidP="005B1DE9">
                      <w:pPr>
                        <w:spacing w:after="200" w:line="276" w:lineRule="auto"/>
                        <w:jc w:val="center"/>
                        <w:rPr>
                          <w:rFonts w:cs="Arial"/>
                          <w:b/>
                          <w:color w:val="A5A5A5"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ED207A0" w14:textId="77777777" w:rsidR="005B1DE9" w:rsidRPr="00BD5ED2" w:rsidRDefault="005B1DE9" w:rsidP="005B1DE9">
                      <w:pPr>
                        <w:spacing w:after="200" w:line="276" w:lineRule="auto"/>
                        <w:jc w:val="center"/>
                        <w:rPr>
                          <w:rFonts w:cs="Arial"/>
                          <w:b/>
                          <w:color w:val="A5A5A5"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A5B96E1" w14:textId="09AE7171" w:rsidR="005B1DE9" w:rsidRDefault="005B1DE9" w:rsidP="005B1DE9">
                      <w:pPr>
                        <w:spacing w:after="200" w:line="276" w:lineRule="auto"/>
                        <w:jc w:val="center"/>
                        <w:rPr>
                          <w:rFonts w:ascii="Arial" w:hAnsi="Arial" w:cs="Arial"/>
                          <w:b/>
                          <w:color w:val="3A5925"/>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112CE">
                        <w:rPr>
                          <w:rFonts w:cs="Arial"/>
                          <w:b/>
                          <w:color w:val="3A5925"/>
                          <w:sz w:val="52"/>
                          <w:szCs w:val="5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Místní akční plán pro ORP Jablunkov I</w:t>
                      </w:r>
                      <w:r>
                        <w:rPr>
                          <w:rFonts w:cs="Arial"/>
                          <w:b/>
                          <w:color w:val="3A5925"/>
                          <w:sz w:val="52"/>
                          <w:szCs w:val="5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w:t>
                      </w:r>
                      <w:r w:rsidRPr="003112CE">
                        <w:rPr>
                          <w:rFonts w:cs="Arial"/>
                          <w:b/>
                          <w:color w:val="3A5925"/>
                          <w:sz w:val="52"/>
                          <w:szCs w:val="5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3112CE">
                        <w:rPr>
                          <w:rFonts w:cs="Arial"/>
                          <w:b/>
                          <w:color w:val="3A5925"/>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reg. č. projektu</w:t>
                      </w:r>
                      <w:r>
                        <w:rPr>
                          <w:rFonts w:cs="Arial"/>
                          <w:b/>
                          <w:color w:val="3A5925"/>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3112CE">
                        <w:rPr>
                          <w:color w:val="3A5925"/>
                        </w:rPr>
                        <w:t xml:space="preserve"> </w:t>
                      </w:r>
                      <w:r>
                        <w:t xml:space="preserve"> </w:t>
                      </w:r>
                      <w:r w:rsidR="00215675" w:rsidRPr="00215675">
                        <w:rPr>
                          <w:rFonts w:cs="Arial"/>
                          <w:b/>
                          <w:color w:val="3A5925"/>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CZ.02.02.XX/00/23_017/0008883</w:t>
                      </w:r>
                    </w:p>
                    <w:p w14:paraId="16B7F1FC" w14:textId="77777777" w:rsidR="005B1DE9" w:rsidRDefault="005B1DE9" w:rsidP="005B1DE9">
                      <w:pPr>
                        <w:spacing w:after="200" w:line="276" w:lineRule="auto"/>
                        <w:jc w:val="center"/>
                        <w:rPr>
                          <w:rFonts w:ascii="Arial" w:hAnsi="Arial" w:cs="Arial"/>
                          <w:b/>
                          <w:color w:val="3A5925"/>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9CB0586" w14:textId="00A9CCF6" w:rsidR="005B1DE9" w:rsidRPr="00F8166C" w:rsidRDefault="005B1DE9" w:rsidP="005B1DE9">
                      <w:pPr>
                        <w:jc w:val="center"/>
                        <w:rPr>
                          <w:color w:val="FF0000"/>
                        </w:rPr>
                      </w:pPr>
                      <w:r w:rsidRPr="00F8166C">
                        <w:rPr>
                          <w:color w:val="FF0000"/>
                        </w:rPr>
                        <w:t xml:space="preserve">Aktualizace schválena ŘV dne </w:t>
                      </w:r>
                      <w:r w:rsidR="00A31B26">
                        <w:rPr>
                          <w:color w:val="FF0000"/>
                        </w:rPr>
                        <w:t>19</w:t>
                      </w:r>
                      <w:r w:rsidRPr="00F8166C">
                        <w:rPr>
                          <w:color w:val="FF0000"/>
                        </w:rPr>
                        <w:t xml:space="preserve">. </w:t>
                      </w:r>
                      <w:r>
                        <w:rPr>
                          <w:color w:val="FF0000"/>
                        </w:rPr>
                        <w:t>0</w:t>
                      </w:r>
                      <w:r w:rsidR="00A31B26">
                        <w:rPr>
                          <w:color w:val="FF0000"/>
                        </w:rPr>
                        <w:t>9</w:t>
                      </w:r>
                      <w:r w:rsidRPr="00F8166C">
                        <w:rPr>
                          <w:color w:val="FF0000"/>
                        </w:rPr>
                        <w:t>. 202</w:t>
                      </w:r>
                      <w:r>
                        <w:rPr>
                          <w:color w:val="FF0000"/>
                        </w:rPr>
                        <w:t>4</w:t>
                      </w:r>
                      <w:r w:rsidRPr="00F8166C">
                        <w:rPr>
                          <w:color w:val="FF0000"/>
                        </w:rPr>
                        <w:t>.</w:t>
                      </w:r>
                    </w:p>
                    <w:p w14:paraId="49EA8B97" w14:textId="67BE68E0" w:rsidR="001A0BB6" w:rsidRPr="00510162" w:rsidRDefault="001A0BB6" w:rsidP="0005563A">
                      <w:pPr>
                        <w:spacing w:after="0" w:line="276" w:lineRule="auto"/>
                        <w:jc w:val="center"/>
                        <w:rPr>
                          <w:b/>
                          <w:color w:val="385623" w:themeColor="accent6" w:themeShade="80"/>
                          <w:sz w:val="40"/>
                          <w:szCs w:val="40"/>
                        </w:rPr>
                      </w:pPr>
                    </w:p>
                  </w:txbxContent>
                </v:textbox>
                <w10:wrap type="square"/>
              </v:shape>
            </w:pict>
          </mc:Fallback>
        </mc:AlternateContent>
      </w:r>
    </w:p>
    <w:p w14:paraId="49EA8AA0" w14:textId="3ACE3DFB" w:rsidR="00207A43" w:rsidRDefault="00207A43"/>
    <w:p w14:paraId="49EA8AA1" w14:textId="77777777" w:rsidR="005030E0" w:rsidRDefault="005030E0"/>
    <w:p w14:paraId="49EA8AA2" w14:textId="77777777" w:rsidR="005030E0" w:rsidRDefault="005030E0"/>
    <w:p w14:paraId="49EA8AA3" w14:textId="77777777" w:rsidR="005030E0" w:rsidRDefault="005030E0"/>
    <w:p w14:paraId="49EA8AA4" w14:textId="284DC372" w:rsidR="005030E0" w:rsidRDefault="005030E0"/>
    <w:p w14:paraId="49EA8AA5" w14:textId="63FF241D" w:rsidR="005030E0" w:rsidRDefault="005030E0"/>
    <w:p w14:paraId="49EA8AA6" w14:textId="77777777" w:rsidR="001A0BB6" w:rsidRDefault="001A0BB6" w:rsidP="00040885">
      <w:pPr>
        <w:pStyle w:val="Nadpis1"/>
        <w:numPr>
          <w:ilvl w:val="0"/>
          <w:numId w:val="0"/>
        </w:numPr>
        <w:spacing w:line="276" w:lineRule="auto"/>
        <w:ind w:left="432" w:hanging="432"/>
        <w:jc w:val="both"/>
        <w:rPr>
          <w:b/>
          <w:color w:val="538135" w:themeColor="accent6" w:themeShade="BF"/>
        </w:rPr>
      </w:pPr>
    </w:p>
    <w:p w14:paraId="49EA8AA7" w14:textId="77777777" w:rsidR="001A0BB6" w:rsidRDefault="001A0BB6" w:rsidP="001A0BB6"/>
    <w:p w14:paraId="49EA8AA8" w14:textId="77777777" w:rsidR="001A0BB6" w:rsidRDefault="001A0BB6" w:rsidP="001A0BB6"/>
    <w:p w14:paraId="49EA8AA9" w14:textId="77777777" w:rsidR="001A0BB6" w:rsidRDefault="001A0BB6" w:rsidP="001A0BB6"/>
    <w:p w14:paraId="49EA8AAA" w14:textId="29EC1705" w:rsidR="001A0BB6" w:rsidRDefault="001A0BB6" w:rsidP="001A0BB6"/>
    <w:p w14:paraId="49EA8AAB" w14:textId="77777777" w:rsidR="001A0BB6" w:rsidRDefault="001A0BB6" w:rsidP="001A0BB6"/>
    <w:p w14:paraId="49EA8AAC" w14:textId="77777777" w:rsidR="001A0BB6" w:rsidRDefault="001A0BB6" w:rsidP="001A0BB6"/>
    <w:p w14:paraId="49EA8AAD" w14:textId="77777777" w:rsidR="001A0BB6" w:rsidRDefault="001A0BB6" w:rsidP="001A0BB6"/>
    <w:p w14:paraId="49EA8AAE" w14:textId="77777777" w:rsidR="001A0BB6" w:rsidRDefault="001A0BB6" w:rsidP="001A0BB6"/>
    <w:p w14:paraId="49EA8AAF" w14:textId="77777777" w:rsidR="001A0BB6" w:rsidRDefault="001A0BB6" w:rsidP="001A0BB6"/>
    <w:p w14:paraId="49EA8AB0" w14:textId="77777777" w:rsidR="00BF0E9A" w:rsidRDefault="00BF0E9A" w:rsidP="001A0BB6"/>
    <w:p w14:paraId="49EA8AB1" w14:textId="77777777" w:rsidR="00BF0E9A" w:rsidRPr="001A0BB6" w:rsidRDefault="00BF0E9A" w:rsidP="00BF0E9A">
      <w:pPr>
        <w:spacing w:after="0"/>
      </w:pPr>
    </w:p>
    <w:p w14:paraId="49EA8AB2" w14:textId="77777777" w:rsidR="00207A43" w:rsidRPr="004858D1" w:rsidRDefault="00207A43" w:rsidP="00BF0E9A">
      <w:pPr>
        <w:pStyle w:val="Nadpis1"/>
        <w:numPr>
          <w:ilvl w:val="0"/>
          <w:numId w:val="0"/>
        </w:numPr>
        <w:spacing w:line="276" w:lineRule="auto"/>
        <w:ind w:left="432" w:hanging="432"/>
        <w:jc w:val="both"/>
        <w:rPr>
          <w:b/>
          <w:color w:val="538135" w:themeColor="accent6" w:themeShade="BF"/>
        </w:rPr>
      </w:pPr>
      <w:r w:rsidRPr="004858D1">
        <w:rPr>
          <w:b/>
          <w:color w:val="538135" w:themeColor="accent6" w:themeShade="BF"/>
        </w:rPr>
        <w:lastRenderedPageBreak/>
        <w:t>ÚVOD</w:t>
      </w:r>
    </w:p>
    <w:p w14:paraId="49EA8AB3" w14:textId="77777777" w:rsidR="00A46511" w:rsidRPr="004858D1" w:rsidRDefault="00A46511" w:rsidP="00BF0E9A">
      <w:pPr>
        <w:spacing w:after="0" w:line="276" w:lineRule="auto"/>
        <w:jc w:val="both"/>
      </w:pPr>
    </w:p>
    <w:p w14:paraId="49EA8AB4" w14:textId="65C8C4FC" w:rsidR="00207A43" w:rsidRPr="004858D1" w:rsidRDefault="00207A43" w:rsidP="00040885">
      <w:pPr>
        <w:spacing w:line="276" w:lineRule="auto"/>
        <w:jc w:val="both"/>
      </w:pPr>
      <w:r w:rsidRPr="004858D1">
        <w:t>Komunikační plán Místního akčního plánu pro ORP Jablunkov I</w:t>
      </w:r>
      <w:r w:rsidR="005B1DE9">
        <w:t>V</w:t>
      </w:r>
      <w:r w:rsidRPr="004858D1">
        <w:t xml:space="preserve"> (dále MAP</w:t>
      </w:r>
      <w:r w:rsidR="00811554" w:rsidRPr="004858D1">
        <w:t>, či projekt</w:t>
      </w:r>
      <w:r w:rsidRPr="004858D1">
        <w:t>), obsahuje rámcový přehled jednotlivých cílových skupin projektu a přehled nástrojů, které jsou pro realizaci</w:t>
      </w:r>
      <w:r w:rsidR="004858D1" w:rsidRPr="004858D1">
        <w:br/>
      </w:r>
      <w:r w:rsidRPr="004858D1">
        <w:t>a řízení místní</w:t>
      </w:r>
      <w:r w:rsidR="00BA4B03" w:rsidRPr="004858D1">
        <w:t>ho akčního plánu potřebné a využívané ke komunikaci a oslovení všech partnerů projektu, dotčené veřejnosti, cílových skupin i dalších zapojených aktérů.</w:t>
      </w:r>
    </w:p>
    <w:p w14:paraId="49EA8AB6" w14:textId="5131F7C8" w:rsidR="00BA4B03" w:rsidRPr="0060096A" w:rsidRDefault="00BA4B03" w:rsidP="00040885">
      <w:pPr>
        <w:spacing w:line="276" w:lineRule="auto"/>
        <w:jc w:val="both"/>
      </w:pPr>
      <w:r w:rsidRPr="00772780">
        <w:t>Komunikační plán je jednou z povinných podaktivit Rozvoje a aktualizace MAP a jeho tvorba je zpracována v souladu s</w:t>
      </w:r>
      <w:r w:rsidR="005B1DE9" w:rsidRPr="00772780">
        <w:t> </w:t>
      </w:r>
      <w:r w:rsidR="00A17E46" w:rsidRPr="00772780">
        <w:t>Pravidl</w:t>
      </w:r>
      <w:r w:rsidR="006A72C0">
        <w:t>y</w:t>
      </w:r>
      <w:r w:rsidR="00A17E46" w:rsidRPr="00772780">
        <w:t xml:space="preserve"> pro žadatele a příjemce specifická část Výzva akční plánování v </w:t>
      </w:r>
      <w:r w:rsidR="0012708D" w:rsidRPr="00772780">
        <w:t>území – MAP</w:t>
      </w:r>
      <w:r w:rsidR="00B35B36">
        <w:t xml:space="preserve">. </w:t>
      </w:r>
      <w:r w:rsidR="00607309" w:rsidRPr="00772780">
        <w:t xml:space="preserve">Komunikační plán navazuje na již zpracovanou </w:t>
      </w:r>
      <w:r w:rsidR="00A06A65">
        <w:t>k</w:t>
      </w:r>
      <w:r w:rsidR="00607309" w:rsidRPr="00772780">
        <w:t xml:space="preserve">omunikační </w:t>
      </w:r>
      <w:r w:rsidR="00342527">
        <w:t xml:space="preserve">strategii </w:t>
      </w:r>
      <w:r w:rsidR="00607309" w:rsidRPr="00772780">
        <w:t>v předchozím MAP pro ORP Jablunkov.</w:t>
      </w:r>
    </w:p>
    <w:p w14:paraId="49EA8AB8" w14:textId="40334E86" w:rsidR="00A46511" w:rsidRPr="0060096A" w:rsidRDefault="0005086B" w:rsidP="00040885">
      <w:pPr>
        <w:pStyle w:val="Nadpis1"/>
        <w:spacing w:line="276" w:lineRule="auto"/>
        <w:jc w:val="both"/>
        <w:rPr>
          <w:b/>
          <w:color w:val="538135" w:themeColor="accent6" w:themeShade="BF"/>
        </w:rPr>
      </w:pPr>
      <w:r w:rsidRPr="00E7623B">
        <w:rPr>
          <w:b/>
          <w:color w:val="538135" w:themeColor="accent6" w:themeShade="BF"/>
        </w:rPr>
        <w:t>Cíl komunikačního plánu</w:t>
      </w:r>
    </w:p>
    <w:p w14:paraId="49EA8AB9" w14:textId="5BE39EF6" w:rsidR="0005086B" w:rsidRPr="00E7623B" w:rsidRDefault="0005086B" w:rsidP="00353F1D">
      <w:pPr>
        <w:spacing w:line="276" w:lineRule="auto"/>
        <w:jc w:val="both"/>
      </w:pPr>
      <w:r w:rsidRPr="00E7623B">
        <w:t>Hlavním cílem komunikačního plánu je zajistit informovanost všech aktérů a široké veřejnosti</w:t>
      </w:r>
      <w:r w:rsidR="00353F1D">
        <w:t xml:space="preserve"> </w:t>
      </w:r>
      <w:r w:rsidRPr="00E7623B">
        <w:t xml:space="preserve">o jednotlivých dílčích výstupech společného plánování </w:t>
      </w:r>
      <w:r w:rsidR="00342527">
        <w:t xml:space="preserve">v území, </w:t>
      </w:r>
      <w:r w:rsidRPr="00E7623B">
        <w:t xml:space="preserve">zpracovaném Strategickém rámci MAP, </w:t>
      </w:r>
      <w:r w:rsidR="00E7623B" w:rsidRPr="00E7623B">
        <w:br/>
      </w:r>
      <w:r w:rsidRPr="00E7623B">
        <w:t xml:space="preserve">o přípravě a finální podobě jednotlivých akčních plánů a o realizaci konkrétních aktivit, samozřejmě také sběr </w:t>
      </w:r>
      <w:r w:rsidR="007011A6">
        <w:t xml:space="preserve">a vyhodnocení </w:t>
      </w:r>
      <w:r w:rsidRPr="00E7623B">
        <w:t>námětů a připomínek. V maximální možné míře využít dostupné komunikační kanály pro prezentaci akčního plánu, nastavit priority a cíle, informovat o postupu práce na aktualizaci aktivit, které souvisí se vzděláváním a umožnit tak klíčovým aktérům podílet se na tvorbě a aktualizaci Místního akčního plánu pro ORP Jablunkov I</w:t>
      </w:r>
      <w:r w:rsidR="00E7623B" w:rsidRPr="00E7623B">
        <w:t>I</w:t>
      </w:r>
      <w:r w:rsidRPr="00E7623B">
        <w:t>I.</w:t>
      </w:r>
    </w:p>
    <w:p w14:paraId="49EA8ABA" w14:textId="77777777" w:rsidR="00607309" w:rsidRPr="006E42CE" w:rsidRDefault="00607309" w:rsidP="006E42CE">
      <w:pPr>
        <w:spacing w:line="276" w:lineRule="auto"/>
        <w:ind w:left="708" w:hanging="708"/>
        <w:jc w:val="both"/>
      </w:pPr>
    </w:p>
    <w:p w14:paraId="49EA8ABC" w14:textId="29314FC4" w:rsidR="009567CB" w:rsidRDefault="009567CB" w:rsidP="006E42CE">
      <w:pPr>
        <w:spacing w:line="276" w:lineRule="auto"/>
        <w:ind w:left="708" w:hanging="708"/>
        <w:jc w:val="both"/>
      </w:pPr>
      <w:r w:rsidRPr="000D0129">
        <w:t xml:space="preserve">V rámci tvorby MAP </w:t>
      </w:r>
      <w:r w:rsidR="00922E2F" w:rsidRPr="000D0129">
        <w:t xml:space="preserve">pro </w:t>
      </w:r>
      <w:r w:rsidRPr="000D0129">
        <w:t xml:space="preserve">ORP Jablunkov </w:t>
      </w:r>
      <w:r w:rsidR="00E7623B" w:rsidRPr="000D0129">
        <w:t>I</w:t>
      </w:r>
      <w:r w:rsidR="005B1DE9">
        <w:t>V</w:t>
      </w:r>
      <w:r w:rsidR="00607309" w:rsidRPr="000D0129">
        <w:t xml:space="preserve">, </w:t>
      </w:r>
      <w:r w:rsidR="006D1258" w:rsidRPr="000D0129">
        <w:t>jsou</w:t>
      </w:r>
      <w:r w:rsidR="00A106B7" w:rsidRPr="000D0129">
        <w:t xml:space="preserve"> identifikovány ty</w:t>
      </w:r>
      <w:r w:rsidR="008E7084" w:rsidRPr="000D0129">
        <w:t>to cílové skupiny</w:t>
      </w:r>
      <w:r w:rsidRPr="000D0129">
        <w:t>:</w:t>
      </w:r>
    </w:p>
    <w:p w14:paraId="3AADD905" w14:textId="3513C9A3" w:rsidR="00575807" w:rsidRDefault="00575807" w:rsidP="00575807">
      <w:pPr>
        <w:pStyle w:val="Odstavecseseznamem"/>
        <w:numPr>
          <w:ilvl w:val="0"/>
          <w:numId w:val="27"/>
        </w:numPr>
        <w:spacing w:after="0" w:line="360" w:lineRule="auto"/>
        <w:ind w:left="1060" w:hanging="703"/>
        <w:jc w:val="both"/>
      </w:pPr>
      <w:r w:rsidRPr="00772780">
        <w:t>rodiče dětí a žáků (případně zákonní zástupci),</w:t>
      </w:r>
    </w:p>
    <w:p w14:paraId="4941E9CD" w14:textId="76A82D67" w:rsidR="00575807" w:rsidRPr="00772780" w:rsidRDefault="00575807" w:rsidP="00575807">
      <w:pPr>
        <w:pStyle w:val="Odstavecseseznamem"/>
        <w:numPr>
          <w:ilvl w:val="0"/>
          <w:numId w:val="27"/>
        </w:numPr>
        <w:spacing w:after="0" w:line="360" w:lineRule="auto"/>
        <w:ind w:left="1060" w:hanging="703"/>
        <w:jc w:val="both"/>
      </w:pPr>
      <w:r w:rsidRPr="00772780">
        <w:t>ostatní aktéři v oblasti vzdělávání</w:t>
      </w:r>
      <w:r>
        <w:t>,</w:t>
      </w:r>
    </w:p>
    <w:p w14:paraId="3359D86E" w14:textId="72E8D5A5" w:rsidR="00A17E46" w:rsidRPr="00772780" w:rsidRDefault="00575807" w:rsidP="00772780">
      <w:pPr>
        <w:pStyle w:val="Odstavecseseznamem"/>
        <w:numPr>
          <w:ilvl w:val="0"/>
          <w:numId w:val="27"/>
        </w:numPr>
        <w:spacing w:after="0" w:line="360" w:lineRule="auto"/>
        <w:ind w:left="1060" w:hanging="703"/>
        <w:jc w:val="both"/>
      </w:pPr>
      <w:r>
        <w:t>v</w:t>
      </w:r>
      <w:r w:rsidRPr="00575807">
        <w:t>edení škol a školských zařízení a zřizovatelé</w:t>
      </w:r>
      <w:r>
        <w:t>,</w:t>
      </w:r>
    </w:p>
    <w:p w14:paraId="0280D3B3" w14:textId="77777777" w:rsidR="00575807" w:rsidRDefault="00575807" w:rsidP="00575807">
      <w:pPr>
        <w:pStyle w:val="Odstavecseseznamem"/>
        <w:numPr>
          <w:ilvl w:val="0"/>
          <w:numId w:val="27"/>
        </w:numPr>
        <w:spacing w:after="0" w:line="360" w:lineRule="auto"/>
        <w:ind w:left="1060" w:hanging="703"/>
        <w:jc w:val="both"/>
      </w:pPr>
      <w:r>
        <w:t>d</w:t>
      </w:r>
      <w:r w:rsidRPr="00575807">
        <w:t xml:space="preserve">ěti, žáci </w:t>
      </w:r>
      <w:r>
        <w:t>ZŠ,</w:t>
      </w:r>
    </w:p>
    <w:p w14:paraId="6C9B9EF1" w14:textId="6C6173A5" w:rsidR="006E42CE" w:rsidRDefault="00575807" w:rsidP="00575807">
      <w:pPr>
        <w:pStyle w:val="Odstavecseseznamem"/>
        <w:numPr>
          <w:ilvl w:val="0"/>
          <w:numId w:val="27"/>
        </w:numPr>
        <w:spacing w:after="0" w:line="360" w:lineRule="auto"/>
        <w:ind w:left="1060" w:hanging="703"/>
        <w:jc w:val="both"/>
      </w:pPr>
      <w:r>
        <w:t>p</w:t>
      </w:r>
      <w:r w:rsidRPr="00575807">
        <w:t>racovníci veřejné správy a subjektů zřízených veřejnou správou</w:t>
      </w:r>
      <w:r>
        <w:t>,</w:t>
      </w:r>
    </w:p>
    <w:p w14:paraId="688DFD08" w14:textId="656D5744" w:rsidR="00575807" w:rsidRDefault="00575807" w:rsidP="00575807">
      <w:pPr>
        <w:pStyle w:val="Odstavecseseznamem"/>
        <w:numPr>
          <w:ilvl w:val="0"/>
          <w:numId w:val="27"/>
        </w:numPr>
        <w:spacing w:after="0" w:line="360" w:lineRule="auto"/>
        <w:ind w:left="1060" w:hanging="703"/>
        <w:jc w:val="both"/>
      </w:pPr>
      <w:r>
        <w:t>p</w:t>
      </w:r>
      <w:r w:rsidRPr="00575807">
        <w:t>edagogičtí a nepedagogičtí pracovníci</w:t>
      </w:r>
      <w:r>
        <w:t>,</w:t>
      </w:r>
    </w:p>
    <w:p w14:paraId="2757C5E6" w14:textId="3B6152B7" w:rsidR="00575807" w:rsidRDefault="00575807" w:rsidP="00575807">
      <w:pPr>
        <w:pStyle w:val="Odstavecseseznamem"/>
        <w:numPr>
          <w:ilvl w:val="0"/>
          <w:numId w:val="27"/>
        </w:numPr>
        <w:spacing w:after="0" w:line="360" w:lineRule="auto"/>
        <w:ind w:left="1060" w:hanging="703"/>
        <w:jc w:val="both"/>
      </w:pPr>
      <w:r>
        <w:t>š</w:t>
      </w:r>
      <w:r w:rsidRPr="00575807">
        <w:t>iroká veřejnost</w:t>
      </w:r>
      <w:r>
        <w:t>,</w:t>
      </w:r>
    </w:p>
    <w:p w14:paraId="17D30554" w14:textId="4509858A" w:rsidR="00575807" w:rsidRDefault="00575807" w:rsidP="00575807">
      <w:pPr>
        <w:pStyle w:val="Odstavecseseznamem"/>
        <w:numPr>
          <w:ilvl w:val="0"/>
          <w:numId w:val="27"/>
        </w:numPr>
        <w:spacing w:after="0" w:line="360" w:lineRule="auto"/>
        <w:ind w:left="1060" w:hanging="703"/>
        <w:jc w:val="both"/>
      </w:pPr>
      <w:r>
        <w:t>p</w:t>
      </w:r>
      <w:r w:rsidRPr="00575807">
        <w:t>racovníci školských poradenských zařízení</w:t>
      </w:r>
      <w:r w:rsidR="004A10A6">
        <w:t>,</w:t>
      </w:r>
    </w:p>
    <w:p w14:paraId="7942019F" w14:textId="738C61BC" w:rsidR="00432824" w:rsidRDefault="00432824" w:rsidP="00575807">
      <w:pPr>
        <w:pStyle w:val="Odstavecseseznamem"/>
        <w:numPr>
          <w:ilvl w:val="0"/>
          <w:numId w:val="27"/>
        </w:numPr>
        <w:spacing w:after="0" w:line="360" w:lineRule="auto"/>
        <w:ind w:left="1060" w:hanging="703"/>
        <w:jc w:val="both"/>
      </w:pPr>
      <w:r>
        <w:t>d</w:t>
      </w:r>
      <w:r w:rsidRPr="00432824">
        <w:t>ěti a žáci z marginalizovaných skupin jako jsou například Romové, nebo děti a žáci ze sociálně znevýhodněného prostředí, či ohroženi školním neúspěchem</w:t>
      </w:r>
    </w:p>
    <w:p w14:paraId="21DD9EFB" w14:textId="40209D98" w:rsidR="00772780" w:rsidRPr="00772780" w:rsidRDefault="00772780" w:rsidP="00772780">
      <w:pPr>
        <w:spacing w:after="0" w:line="360" w:lineRule="auto"/>
        <w:jc w:val="both"/>
        <w:rPr>
          <w:color w:val="FF0000"/>
        </w:rPr>
      </w:pPr>
    </w:p>
    <w:p w14:paraId="6DBD6176" w14:textId="77777777" w:rsidR="006E42CE" w:rsidRDefault="006E42CE" w:rsidP="006E42CE">
      <w:pPr>
        <w:spacing w:line="276" w:lineRule="auto"/>
        <w:ind w:left="708" w:hanging="708"/>
        <w:jc w:val="both"/>
      </w:pPr>
    </w:p>
    <w:p w14:paraId="5AD9A730" w14:textId="77777777" w:rsidR="006E42CE" w:rsidRDefault="006E42CE" w:rsidP="00040885">
      <w:pPr>
        <w:spacing w:line="276" w:lineRule="auto"/>
        <w:jc w:val="both"/>
      </w:pPr>
    </w:p>
    <w:p w14:paraId="54B898DD" w14:textId="251613FE" w:rsidR="00476950" w:rsidRPr="00476950" w:rsidRDefault="00AF66DA" w:rsidP="00040885">
      <w:pPr>
        <w:pStyle w:val="Nadpis1"/>
        <w:spacing w:line="276" w:lineRule="auto"/>
        <w:jc w:val="both"/>
        <w:rPr>
          <w:b/>
          <w:color w:val="538135" w:themeColor="accent6" w:themeShade="BF"/>
        </w:rPr>
      </w:pPr>
      <w:r w:rsidRPr="0079108C">
        <w:rPr>
          <w:b/>
          <w:color w:val="538135" w:themeColor="accent6" w:themeShade="BF"/>
        </w:rPr>
        <w:lastRenderedPageBreak/>
        <w:t>Způsoby realizace komunikačního plánu</w:t>
      </w:r>
    </w:p>
    <w:p w14:paraId="49EA8AC6" w14:textId="2A3F6194" w:rsidR="00AF66DA" w:rsidRPr="0079108C" w:rsidRDefault="00AF66DA" w:rsidP="00040885">
      <w:pPr>
        <w:spacing w:line="276" w:lineRule="auto"/>
        <w:jc w:val="both"/>
      </w:pPr>
      <w:r w:rsidRPr="0079108C">
        <w:t>Konzultační a komunikační proces v rámci projektu probíhá v souladu</w:t>
      </w:r>
      <w:r w:rsidRPr="00772780">
        <w:t xml:space="preserve"> s metodikou </w:t>
      </w:r>
      <w:r w:rsidR="00DC7826" w:rsidRPr="00772780">
        <w:t>–</w:t>
      </w:r>
      <w:r w:rsidRPr="00772780">
        <w:t xml:space="preserve"> </w:t>
      </w:r>
      <w:r w:rsidR="006E42CE" w:rsidRPr="00772780">
        <w:t>Pravidla pro žadatele a příjemce specifická část Výzva akční plánování v </w:t>
      </w:r>
      <w:r w:rsidR="0098493F" w:rsidRPr="00772780">
        <w:t>území – MAP</w:t>
      </w:r>
      <w:r w:rsidR="00A46511" w:rsidRPr="00772780">
        <w:t xml:space="preserve">. </w:t>
      </w:r>
      <w:r w:rsidR="00A46511" w:rsidRPr="0079108C">
        <w:t>J</w:t>
      </w:r>
      <w:r w:rsidR="00C57406" w:rsidRPr="0079108C">
        <w:t>iž z předešlého MAP</w:t>
      </w:r>
      <w:r w:rsidRPr="0079108C">
        <w:t xml:space="preserve"> máme celou řadu zkušeností. In</w:t>
      </w:r>
      <w:r w:rsidR="006D1258" w:rsidRPr="0079108C">
        <w:t>formační kanály se prolínají</w:t>
      </w:r>
      <w:r w:rsidRPr="0079108C">
        <w:t xml:space="preserve"> vůči cílovým skupinám.</w:t>
      </w:r>
    </w:p>
    <w:p w14:paraId="49EA8AC8" w14:textId="302CE71F" w:rsidR="009567CB" w:rsidRPr="00476950" w:rsidRDefault="009567CB" w:rsidP="00040885">
      <w:pPr>
        <w:spacing w:line="276" w:lineRule="auto"/>
        <w:jc w:val="both"/>
      </w:pPr>
      <w:r w:rsidRPr="00DF68C5">
        <w:t xml:space="preserve">Uvedené cílové skupiny se mohou do tvorby MAP </w:t>
      </w:r>
      <w:r w:rsidR="00922E2F" w:rsidRPr="00DF68C5">
        <w:t xml:space="preserve">pro </w:t>
      </w:r>
      <w:r w:rsidRPr="00DF68C5">
        <w:t xml:space="preserve">ORP Jablunkov </w:t>
      </w:r>
      <w:r w:rsidR="00C57406" w:rsidRPr="00DF68C5">
        <w:t>I</w:t>
      </w:r>
      <w:r w:rsidR="00A17E46">
        <w:t>V</w:t>
      </w:r>
      <w:r w:rsidR="00C57406" w:rsidRPr="00DF68C5">
        <w:t xml:space="preserve"> </w:t>
      </w:r>
      <w:r w:rsidRPr="00DF68C5">
        <w:t>zapojit ve čtyřech definovaných stupních:</w:t>
      </w:r>
    </w:p>
    <w:p w14:paraId="49EA8AC9" w14:textId="77777777" w:rsidR="009567CB" w:rsidRPr="00F45D5E" w:rsidRDefault="009567CB" w:rsidP="00040885">
      <w:pPr>
        <w:pStyle w:val="Nadpis2"/>
        <w:spacing w:line="276" w:lineRule="auto"/>
        <w:jc w:val="both"/>
        <w:rPr>
          <w:b/>
          <w:color w:val="538135" w:themeColor="accent6" w:themeShade="BF"/>
        </w:rPr>
      </w:pPr>
      <w:r w:rsidRPr="00F45D5E">
        <w:rPr>
          <w:b/>
          <w:color w:val="538135" w:themeColor="accent6" w:themeShade="BF"/>
        </w:rPr>
        <w:t>Zajištění přístupu k informacím (pasivní informování)</w:t>
      </w:r>
    </w:p>
    <w:p w14:paraId="503566CD" w14:textId="0BAA6648" w:rsidR="0033517F" w:rsidRPr="00837163" w:rsidRDefault="009567CB" w:rsidP="00040885">
      <w:pPr>
        <w:spacing w:line="276" w:lineRule="auto"/>
        <w:jc w:val="both"/>
        <w:rPr>
          <w:highlight w:val="yellow"/>
        </w:rPr>
      </w:pPr>
      <w:r w:rsidRPr="00F45D5E">
        <w:t>Informovanost probíhá prostřednictvím internetových stránek projektu</w:t>
      </w:r>
      <w:r w:rsidR="00922E2F" w:rsidRPr="00F45D5E">
        <w:t xml:space="preserve"> </w:t>
      </w:r>
      <w:hyperlink r:id="rId13" w:history="1">
        <w:r w:rsidR="00922E2F" w:rsidRPr="00F45D5E">
          <w:rPr>
            <w:rStyle w:val="Hypertextovodkaz"/>
          </w:rPr>
          <w:t>http://map.jablunkov.cz/</w:t>
        </w:r>
      </w:hyperlink>
      <w:r w:rsidR="00922E2F" w:rsidRPr="00F45D5E">
        <w:t xml:space="preserve">, </w:t>
      </w:r>
      <w:r w:rsidR="00922E2F" w:rsidRPr="00F45D5E">
        <w:br/>
      </w:r>
      <w:r w:rsidR="00AF66DA" w:rsidRPr="00F45D5E">
        <w:t>FB stránek projektu – MAP I</w:t>
      </w:r>
      <w:r w:rsidR="00A17E46">
        <w:t>V</w:t>
      </w:r>
      <w:r w:rsidR="00AF66DA" w:rsidRPr="00F45D5E">
        <w:t xml:space="preserve"> Jablunkov </w:t>
      </w:r>
      <w:r w:rsidR="00922E2F" w:rsidRPr="00F45D5E">
        <w:t>(</w:t>
      </w:r>
      <w:hyperlink r:id="rId14" w:history="1">
        <w:r w:rsidR="00655375" w:rsidRPr="00F45D5E">
          <w:rPr>
            <w:rStyle w:val="Hypertextovodkaz"/>
          </w:rPr>
          <w:t>https://www.facebook.com/map.jablunkov/</w:t>
        </w:r>
      </w:hyperlink>
      <w:r w:rsidR="00922E2F" w:rsidRPr="00F45D5E">
        <w:t>),</w:t>
      </w:r>
      <w:r w:rsidR="00655375" w:rsidRPr="00F45D5E">
        <w:t xml:space="preserve"> </w:t>
      </w:r>
      <w:r w:rsidRPr="00F45D5E">
        <w:t xml:space="preserve">místních médií, propagačních materiálů a v rámci realizace aktivit projektu. Na internetových </w:t>
      </w:r>
      <w:r w:rsidR="00A46511" w:rsidRPr="00F45D5E">
        <w:t xml:space="preserve">a FB stránkách </w:t>
      </w:r>
      <w:r w:rsidRPr="00F45D5E">
        <w:t>projektu jsou průběžně prezentovány výstupy z jednotlivých jednání, aktualizován časový harmonogram dílčích výstupů i jednotlivých akcí, umísťovány fotografie z jednání. Veřejnost zde může vyplňovat dotazníky monitorující její pohled na jednotlivá témata z oblasti vzdělávání. Články o real</w:t>
      </w:r>
      <w:r w:rsidR="00B17F67" w:rsidRPr="00F45D5E">
        <w:t xml:space="preserve">izaci jsou publikovány v jablunkovském zpravodaji Jabko, který měsíčně vydává nositel projektu a </w:t>
      </w:r>
      <w:r w:rsidR="006D1258" w:rsidRPr="00F45D5E">
        <w:t xml:space="preserve">v </w:t>
      </w:r>
      <w:r w:rsidR="00B17F67" w:rsidRPr="00F45D5E">
        <w:t xml:space="preserve">jiných zpravodajích obcí ORP Jablunkov. </w:t>
      </w:r>
      <w:r w:rsidRPr="00F45D5E">
        <w:t xml:space="preserve"> Byl zpracován propagační materiál v podobě A3 plakátu a umístěn v prostorách </w:t>
      </w:r>
      <w:r w:rsidR="00922E2F" w:rsidRPr="00F45D5E">
        <w:t>nositele projekt</w:t>
      </w:r>
      <w:r w:rsidR="00350B7D">
        <w:t>u</w:t>
      </w:r>
      <w:r w:rsidRPr="00F45D5E">
        <w:t xml:space="preserve">. </w:t>
      </w:r>
      <w:r w:rsidRPr="00485747">
        <w:t>V rámci aktivit projektu, zejména vzdělávacích, informač</w:t>
      </w:r>
      <w:r w:rsidR="006D1258" w:rsidRPr="00485747">
        <w:t>ních a tematických setkání, jsou</w:t>
      </w:r>
      <w:r w:rsidRPr="00485747">
        <w:t xml:space="preserve"> účastníci informováni o realizaci </w:t>
      </w:r>
      <w:r w:rsidR="004C2B4A">
        <w:t>projektu</w:t>
      </w:r>
      <w:r w:rsidRPr="00485747">
        <w:t xml:space="preserve"> MAP. </w:t>
      </w:r>
      <w:r w:rsidR="006D1258" w:rsidRPr="00485747">
        <w:t xml:space="preserve">Je v plánu </w:t>
      </w:r>
      <w:r w:rsidR="008B03C8">
        <w:t xml:space="preserve">realizace </w:t>
      </w:r>
      <w:r w:rsidR="009552E3" w:rsidRPr="00485747">
        <w:t>informativní</w:t>
      </w:r>
      <w:r w:rsidR="008B03C8">
        <w:t>ho</w:t>
      </w:r>
      <w:r w:rsidR="009552E3" w:rsidRPr="00485747">
        <w:t xml:space="preserve"> setkání ke kvalitě vzdělávání s</w:t>
      </w:r>
      <w:r w:rsidR="0063192F">
        <w:t xml:space="preserve"> relevantními </w:t>
      </w:r>
      <w:r w:rsidR="009552E3" w:rsidRPr="00485747">
        <w:t>aktéry.</w:t>
      </w:r>
    </w:p>
    <w:p w14:paraId="49EA8ACC" w14:textId="77777777" w:rsidR="009567CB" w:rsidRPr="00485747" w:rsidRDefault="009567CB" w:rsidP="00040885">
      <w:pPr>
        <w:pStyle w:val="Nadpis3"/>
        <w:spacing w:line="276" w:lineRule="auto"/>
        <w:jc w:val="both"/>
        <w:rPr>
          <w:b/>
          <w:color w:val="538135" w:themeColor="accent6" w:themeShade="BF"/>
        </w:rPr>
      </w:pPr>
      <w:r w:rsidRPr="00485747">
        <w:rPr>
          <w:b/>
          <w:color w:val="538135" w:themeColor="accent6" w:themeShade="BF"/>
        </w:rPr>
        <w:t>Aktivní informování</w:t>
      </w:r>
    </w:p>
    <w:p w14:paraId="49EA8ACE" w14:textId="2F8087F1" w:rsidR="009567CB" w:rsidRPr="0060096A" w:rsidRDefault="009567CB" w:rsidP="00040885">
      <w:pPr>
        <w:spacing w:line="276" w:lineRule="auto"/>
        <w:jc w:val="both"/>
      </w:pPr>
      <w:r w:rsidRPr="00485747">
        <w:t>Aktivní inform</w:t>
      </w:r>
      <w:r w:rsidR="006D1258" w:rsidRPr="00485747">
        <w:t>ování je zajištěno pr</w:t>
      </w:r>
      <w:r w:rsidR="00DD6E25" w:rsidRPr="00485747">
        <w:t>o všechny partnery projektu MAP</w:t>
      </w:r>
      <w:r w:rsidR="00B35DFE">
        <w:t>, a to p</w:t>
      </w:r>
      <w:r w:rsidRPr="00485747">
        <w:t>rostřednictvím elektronické komunikace</w:t>
      </w:r>
      <w:r w:rsidR="00E35083">
        <w:t>, kdy</w:t>
      </w:r>
      <w:r w:rsidRPr="00485747">
        <w:t xml:space="preserve"> </w:t>
      </w:r>
      <w:r w:rsidR="00D00A1A">
        <w:t xml:space="preserve">jsou zasílány </w:t>
      </w:r>
      <w:r w:rsidRPr="00485747">
        <w:t>výstupy projektu MAP, pozvánky na vzdělávací akce a pravidelné informace o milnících projektu.</w:t>
      </w:r>
    </w:p>
    <w:p w14:paraId="49EA8ACF" w14:textId="77777777" w:rsidR="009567CB" w:rsidRPr="00A834A3" w:rsidRDefault="009567CB" w:rsidP="00040885">
      <w:pPr>
        <w:pStyle w:val="Nadpis3"/>
        <w:spacing w:line="276" w:lineRule="auto"/>
        <w:jc w:val="both"/>
        <w:rPr>
          <w:b/>
          <w:color w:val="538135" w:themeColor="accent6" w:themeShade="BF"/>
        </w:rPr>
      </w:pPr>
      <w:r w:rsidRPr="00A834A3">
        <w:rPr>
          <w:b/>
          <w:color w:val="538135" w:themeColor="accent6" w:themeShade="BF"/>
        </w:rPr>
        <w:t>Oboustranná komunikace za účelem sběru připomínek</w:t>
      </w:r>
    </w:p>
    <w:p w14:paraId="580A852C" w14:textId="44F11099" w:rsidR="00460158" w:rsidRPr="00911F26" w:rsidRDefault="009567CB" w:rsidP="00040885">
      <w:pPr>
        <w:spacing w:line="276" w:lineRule="auto"/>
        <w:jc w:val="both"/>
      </w:pPr>
      <w:r w:rsidRPr="00A834A3">
        <w:t xml:space="preserve">Při tvorbě klíčových výstupů projektu jsou </w:t>
      </w:r>
      <w:r w:rsidR="001A199E">
        <w:t>zástupci</w:t>
      </w:r>
      <w:r w:rsidRPr="00A834A3">
        <w:t xml:space="preserve"> cílov</w:t>
      </w:r>
      <w:r w:rsidR="001A199E">
        <w:t xml:space="preserve">ých </w:t>
      </w:r>
      <w:r w:rsidRPr="00A834A3">
        <w:t>skupin, které působí v pracovních skupinách či Řídícím výboru MAP, vyzýván</w:t>
      </w:r>
      <w:r w:rsidR="00CE1568">
        <w:t>i</w:t>
      </w:r>
      <w:r w:rsidRPr="00A834A3">
        <w:t xml:space="preserve"> k připomínkování. Realizační tým je povinen vyjádřit se ke všem doručeným připomínkám a zapracovat je dle požadavků. Veškeré výstupy jsou předkládány ke schválení/neschválení Řídícímu výboru MAP.</w:t>
      </w:r>
    </w:p>
    <w:p w14:paraId="49EA8AD2" w14:textId="77777777" w:rsidR="009567CB" w:rsidRPr="00CD0A69" w:rsidRDefault="009567CB" w:rsidP="00040885">
      <w:pPr>
        <w:pStyle w:val="Nadpis3"/>
        <w:spacing w:line="276" w:lineRule="auto"/>
        <w:jc w:val="both"/>
        <w:rPr>
          <w:b/>
          <w:color w:val="538135" w:themeColor="accent6" w:themeShade="BF"/>
        </w:rPr>
      </w:pPr>
      <w:r w:rsidRPr="00CD0A69">
        <w:rPr>
          <w:b/>
          <w:color w:val="538135" w:themeColor="accent6" w:themeShade="BF"/>
        </w:rPr>
        <w:t>Přímá účast v pracovních orgánech MAP</w:t>
      </w:r>
    </w:p>
    <w:p w14:paraId="4C688406" w14:textId="081B9792" w:rsidR="00D47338" w:rsidRPr="00911F26" w:rsidRDefault="009567CB" w:rsidP="00040885">
      <w:pPr>
        <w:spacing w:line="276" w:lineRule="auto"/>
        <w:jc w:val="both"/>
      </w:pPr>
      <w:r w:rsidRPr="00CD0A69">
        <w:t>Vybraní aktéři, kteří mají zájem spolupracovat</w:t>
      </w:r>
      <w:r w:rsidR="00210CFE">
        <w:t xml:space="preserve"> a</w:t>
      </w:r>
      <w:r w:rsidRPr="00CD0A69">
        <w:t xml:space="preserve"> aktivně </w:t>
      </w:r>
      <w:r w:rsidR="00210CFE">
        <w:t xml:space="preserve">se </w:t>
      </w:r>
      <w:r w:rsidRPr="00CD0A69">
        <w:t xml:space="preserve">podílet na tvorbě MAP, </w:t>
      </w:r>
      <w:r w:rsidR="00210CFE">
        <w:t>mohou být</w:t>
      </w:r>
      <w:r w:rsidR="00004014">
        <w:t xml:space="preserve"> zapojeni </w:t>
      </w:r>
      <w:r w:rsidRPr="00CD0A69">
        <w:t>zejména prostřednictvím členství v Řídíc</w:t>
      </w:r>
      <w:r w:rsidR="00DD6E25" w:rsidRPr="00CD0A69">
        <w:t xml:space="preserve">ím výboru a </w:t>
      </w:r>
      <w:r w:rsidRPr="00CD0A69">
        <w:t>pracovních skupin</w:t>
      </w:r>
      <w:r w:rsidR="00DD6E25" w:rsidRPr="00CD0A69">
        <w:t>ách</w:t>
      </w:r>
      <w:r w:rsidRPr="00CD0A69">
        <w:t>.</w:t>
      </w:r>
    </w:p>
    <w:tbl>
      <w:tblPr>
        <w:tblStyle w:val="Mkatabulky"/>
        <w:tblpPr w:leftFromText="141" w:rightFromText="141" w:vertAnchor="text" w:tblpXSpec="center" w:tblpY="1"/>
        <w:tblOverlap w:val="never"/>
        <w:tblW w:w="8512" w:type="dxa"/>
        <w:tblLook w:val="04A0" w:firstRow="1" w:lastRow="0" w:firstColumn="1" w:lastColumn="0" w:noHBand="0" w:noVBand="1"/>
      </w:tblPr>
      <w:tblGrid>
        <w:gridCol w:w="1965"/>
        <w:gridCol w:w="2877"/>
        <w:gridCol w:w="3670"/>
      </w:tblGrid>
      <w:tr w:rsidR="00A2465F" w:rsidRPr="00315338" w14:paraId="44093160" w14:textId="77777777" w:rsidTr="00A17E46">
        <w:trPr>
          <w:trHeight w:val="301"/>
        </w:trPr>
        <w:tc>
          <w:tcPr>
            <w:tcW w:w="1965" w:type="dxa"/>
            <w:shd w:val="clear" w:color="auto" w:fill="A8D08D" w:themeFill="accent6" w:themeFillTint="99"/>
            <w:noWrap/>
            <w:hideMark/>
          </w:tcPr>
          <w:p w14:paraId="12076293" w14:textId="77777777" w:rsidR="00A2465F" w:rsidRPr="007711BF" w:rsidRDefault="00A2465F" w:rsidP="00CA687F">
            <w:pPr>
              <w:jc w:val="center"/>
              <w:rPr>
                <w:rFonts w:eastAsia="Times New Roman"/>
                <w:b/>
                <w:bCs/>
                <w:lang w:eastAsia="cs-CZ"/>
              </w:rPr>
            </w:pPr>
            <w:r w:rsidRPr="007711BF">
              <w:rPr>
                <w:rFonts w:eastAsia="Times New Roman"/>
                <w:b/>
                <w:bCs/>
                <w:lang w:eastAsia="cs-CZ"/>
              </w:rPr>
              <w:t>Kdy informujeme</w:t>
            </w:r>
          </w:p>
        </w:tc>
        <w:tc>
          <w:tcPr>
            <w:tcW w:w="2877" w:type="dxa"/>
            <w:shd w:val="clear" w:color="auto" w:fill="A8D08D" w:themeFill="accent6" w:themeFillTint="99"/>
            <w:noWrap/>
            <w:hideMark/>
          </w:tcPr>
          <w:p w14:paraId="405D6A3C" w14:textId="77777777" w:rsidR="00A2465F" w:rsidRPr="007711BF" w:rsidRDefault="00A2465F" w:rsidP="00CA687F">
            <w:pPr>
              <w:jc w:val="center"/>
              <w:rPr>
                <w:rFonts w:eastAsia="Times New Roman"/>
                <w:b/>
                <w:bCs/>
                <w:lang w:eastAsia="cs-CZ"/>
              </w:rPr>
            </w:pPr>
            <w:r w:rsidRPr="007711BF">
              <w:rPr>
                <w:rFonts w:eastAsia="Times New Roman"/>
                <w:b/>
                <w:bCs/>
                <w:lang w:eastAsia="cs-CZ"/>
              </w:rPr>
              <w:t>Nástroj komunikace</w:t>
            </w:r>
          </w:p>
        </w:tc>
        <w:tc>
          <w:tcPr>
            <w:tcW w:w="3670" w:type="dxa"/>
            <w:shd w:val="clear" w:color="auto" w:fill="A8D08D" w:themeFill="accent6" w:themeFillTint="99"/>
            <w:noWrap/>
            <w:hideMark/>
          </w:tcPr>
          <w:p w14:paraId="5AC1488D" w14:textId="77777777" w:rsidR="00A2465F" w:rsidRPr="007711BF" w:rsidRDefault="00A2465F" w:rsidP="00CA687F">
            <w:pPr>
              <w:jc w:val="center"/>
              <w:rPr>
                <w:rFonts w:eastAsia="Times New Roman"/>
                <w:b/>
                <w:bCs/>
                <w:lang w:eastAsia="cs-CZ"/>
              </w:rPr>
            </w:pPr>
            <w:r w:rsidRPr="007711BF">
              <w:rPr>
                <w:rFonts w:eastAsia="Times New Roman"/>
                <w:b/>
                <w:bCs/>
                <w:lang w:eastAsia="cs-CZ"/>
              </w:rPr>
              <w:t>O čem informujeme</w:t>
            </w:r>
          </w:p>
        </w:tc>
      </w:tr>
      <w:tr w:rsidR="00A2465F" w:rsidRPr="00315338" w14:paraId="34E60E3D" w14:textId="77777777" w:rsidTr="00A17E46">
        <w:trPr>
          <w:trHeight w:val="286"/>
        </w:trPr>
        <w:tc>
          <w:tcPr>
            <w:tcW w:w="1965" w:type="dxa"/>
            <w:vMerge w:val="restart"/>
            <w:shd w:val="clear" w:color="auto" w:fill="E2EFD9" w:themeFill="accent6" w:themeFillTint="33"/>
            <w:hideMark/>
          </w:tcPr>
          <w:p w14:paraId="2FB7F5C9" w14:textId="77777777" w:rsidR="00A2465F" w:rsidRPr="0049404D" w:rsidRDefault="00A2465F" w:rsidP="00CA687F">
            <w:pPr>
              <w:jc w:val="center"/>
              <w:rPr>
                <w:rFonts w:eastAsia="Times New Roman"/>
                <w:color w:val="000000"/>
                <w:lang w:eastAsia="cs-CZ"/>
              </w:rPr>
            </w:pPr>
            <w:r>
              <w:rPr>
                <w:rFonts w:eastAsia="Times New Roman"/>
                <w:color w:val="000000"/>
                <w:lang w:eastAsia="cs-CZ"/>
              </w:rPr>
              <w:t>d</w:t>
            </w:r>
            <w:r w:rsidRPr="0049404D">
              <w:rPr>
                <w:rFonts w:eastAsia="Times New Roman"/>
                <w:color w:val="000000"/>
                <w:lang w:eastAsia="cs-CZ"/>
              </w:rPr>
              <w:t>o 6 měsíců od vydání právního aktu</w:t>
            </w:r>
          </w:p>
        </w:tc>
        <w:tc>
          <w:tcPr>
            <w:tcW w:w="2877" w:type="dxa"/>
            <w:noWrap/>
            <w:hideMark/>
          </w:tcPr>
          <w:p w14:paraId="3F5CE58E" w14:textId="77777777" w:rsidR="00A2465F" w:rsidRPr="0049404D" w:rsidRDefault="00A2465F" w:rsidP="00CA687F">
            <w:pPr>
              <w:rPr>
                <w:rFonts w:eastAsia="Times New Roman"/>
                <w:color w:val="000000"/>
                <w:lang w:eastAsia="cs-CZ"/>
              </w:rPr>
            </w:pPr>
            <w:r w:rsidRPr="0049404D">
              <w:rPr>
                <w:rFonts w:eastAsia="Times New Roman"/>
                <w:color w:val="000000"/>
                <w:lang w:eastAsia="cs-CZ"/>
              </w:rPr>
              <w:t>Webové stránky projektu</w:t>
            </w:r>
          </w:p>
        </w:tc>
        <w:tc>
          <w:tcPr>
            <w:tcW w:w="3670" w:type="dxa"/>
            <w:vMerge w:val="restart"/>
            <w:noWrap/>
            <w:hideMark/>
          </w:tcPr>
          <w:p w14:paraId="2BA5E6CB" w14:textId="77777777" w:rsidR="00A2465F" w:rsidRDefault="00A2465F" w:rsidP="00CA687F">
            <w:pPr>
              <w:jc w:val="center"/>
              <w:rPr>
                <w:rFonts w:eastAsia="Times New Roman"/>
                <w:color w:val="000000"/>
                <w:lang w:eastAsia="cs-CZ"/>
              </w:rPr>
            </w:pPr>
            <w:r w:rsidRPr="0049404D">
              <w:rPr>
                <w:rFonts w:eastAsia="Times New Roman"/>
                <w:color w:val="000000"/>
                <w:lang w:eastAsia="cs-CZ"/>
              </w:rPr>
              <w:t>Zahájení realizace projektu</w:t>
            </w:r>
          </w:p>
          <w:p w14:paraId="6FD4A18B" w14:textId="68C425BE" w:rsidR="00B071B7" w:rsidRDefault="00B071B7" w:rsidP="00CA687F">
            <w:pPr>
              <w:jc w:val="center"/>
              <w:rPr>
                <w:rFonts w:eastAsia="Times New Roman"/>
                <w:color w:val="000000"/>
                <w:lang w:eastAsia="cs-CZ"/>
              </w:rPr>
            </w:pPr>
            <w:r>
              <w:rPr>
                <w:rFonts w:eastAsia="Times New Roman"/>
                <w:color w:val="000000"/>
                <w:lang w:eastAsia="cs-CZ"/>
              </w:rPr>
              <w:t>Výstupy projektu MAP I</w:t>
            </w:r>
            <w:r w:rsidR="00A17E46">
              <w:rPr>
                <w:rFonts w:eastAsia="Times New Roman"/>
                <w:color w:val="000000"/>
                <w:lang w:eastAsia="cs-CZ"/>
              </w:rPr>
              <w:t>V</w:t>
            </w:r>
          </w:p>
          <w:p w14:paraId="69DF41A4" w14:textId="1C20BF6D" w:rsidR="00B071B7" w:rsidRPr="0049404D" w:rsidRDefault="00B071B7" w:rsidP="00CA687F">
            <w:pPr>
              <w:jc w:val="center"/>
              <w:rPr>
                <w:rFonts w:eastAsia="Times New Roman"/>
                <w:color w:val="000000"/>
                <w:lang w:eastAsia="cs-CZ"/>
              </w:rPr>
            </w:pPr>
            <w:r>
              <w:rPr>
                <w:rFonts w:eastAsia="Times New Roman"/>
                <w:color w:val="000000"/>
                <w:lang w:eastAsia="cs-CZ"/>
              </w:rPr>
              <w:t>Obsazení PS</w:t>
            </w:r>
          </w:p>
        </w:tc>
      </w:tr>
      <w:tr w:rsidR="00A2465F" w:rsidRPr="00315338" w14:paraId="3B3EC4DF" w14:textId="77777777" w:rsidTr="00A17E46">
        <w:trPr>
          <w:trHeight w:val="286"/>
        </w:trPr>
        <w:tc>
          <w:tcPr>
            <w:tcW w:w="1965" w:type="dxa"/>
            <w:vMerge/>
            <w:shd w:val="clear" w:color="auto" w:fill="E2EFD9" w:themeFill="accent6" w:themeFillTint="33"/>
            <w:hideMark/>
          </w:tcPr>
          <w:p w14:paraId="78BD15F2" w14:textId="77777777" w:rsidR="00A2465F" w:rsidRPr="0049404D" w:rsidRDefault="00A2465F" w:rsidP="00CA687F">
            <w:pPr>
              <w:rPr>
                <w:rFonts w:eastAsia="Times New Roman"/>
                <w:color w:val="000000"/>
                <w:lang w:eastAsia="cs-CZ"/>
              </w:rPr>
            </w:pPr>
          </w:p>
        </w:tc>
        <w:tc>
          <w:tcPr>
            <w:tcW w:w="2877" w:type="dxa"/>
            <w:noWrap/>
            <w:hideMark/>
          </w:tcPr>
          <w:p w14:paraId="08FFD250" w14:textId="77777777" w:rsidR="00A2465F" w:rsidRPr="0049404D" w:rsidRDefault="00A2465F" w:rsidP="00CA687F">
            <w:pPr>
              <w:rPr>
                <w:rFonts w:eastAsia="Times New Roman"/>
                <w:color w:val="000000"/>
                <w:lang w:eastAsia="cs-CZ"/>
              </w:rPr>
            </w:pPr>
            <w:r w:rsidRPr="0049404D">
              <w:rPr>
                <w:rFonts w:eastAsia="Times New Roman"/>
                <w:color w:val="000000"/>
                <w:lang w:eastAsia="cs-CZ"/>
              </w:rPr>
              <w:t>Facebook</w:t>
            </w:r>
          </w:p>
        </w:tc>
        <w:tc>
          <w:tcPr>
            <w:tcW w:w="3670" w:type="dxa"/>
            <w:vMerge/>
            <w:hideMark/>
          </w:tcPr>
          <w:p w14:paraId="59340208" w14:textId="77777777" w:rsidR="00A2465F" w:rsidRPr="0049404D" w:rsidRDefault="00A2465F" w:rsidP="00CA687F">
            <w:pPr>
              <w:rPr>
                <w:rFonts w:eastAsia="Times New Roman"/>
                <w:color w:val="000000"/>
                <w:lang w:eastAsia="cs-CZ"/>
              </w:rPr>
            </w:pPr>
          </w:p>
        </w:tc>
      </w:tr>
      <w:tr w:rsidR="00A2465F" w:rsidRPr="00315338" w14:paraId="3A36617B" w14:textId="77777777" w:rsidTr="00A17E46">
        <w:trPr>
          <w:trHeight w:val="224"/>
        </w:trPr>
        <w:tc>
          <w:tcPr>
            <w:tcW w:w="1965" w:type="dxa"/>
            <w:vMerge/>
            <w:shd w:val="clear" w:color="auto" w:fill="E2EFD9" w:themeFill="accent6" w:themeFillTint="33"/>
            <w:hideMark/>
          </w:tcPr>
          <w:p w14:paraId="7213824A" w14:textId="77777777" w:rsidR="00A2465F" w:rsidRPr="0049404D" w:rsidRDefault="00A2465F" w:rsidP="00CA687F">
            <w:pPr>
              <w:rPr>
                <w:rFonts w:eastAsia="Times New Roman"/>
                <w:color w:val="000000"/>
                <w:lang w:eastAsia="cs-CZ"/>
              </w:rPr>
            </w:pPr>
          </w:p>
        </w:tc>
        <w:tc>
          <w:tcPr>
            <w:tcW w:w="2877" w:type="dxa"/>
            <w:noWrap/>
            <w:hideMark/>
          </w:tcPr>
          <w:p w14:paraId="717A4492" w14:textId="09F937D7" w:rsidR="00A2465F" w:rsidRPr="0049404D" w:rsidRDefault="00A2465F" w:rsidP="00CA687F">
            <w:pPr>
              <w:rPr>
                <w:rFonts w:eastAsia="Times New Roman"/>
                <w:color w:val="000000"/>
                <w:lang w:eastAsia="cs-CZ"/>
              </w:rPr>
            </w:pPr>
            <w:r>
              <w:rPr>
                <w:rFonts w:eastAsia="Times New Roman"/>
                <w:color w:val="000000"/>
                <w:lang w:eastAsia="cs-CZ"/>
              </w:rPr>
              <w:t>Jablunkovský</w:t>
            </w:r>
            <w:r w:rsidRPr="0049404D">
              <w:rPr>
                <w:rFonts w:eastAsia="Times New Roman"/>
                <w:color w:val="000000"/>
                <w:lang w:eastAsia="cs-CZ"/>
              </w:rPr>
              <w:t xml:space="preserve"> zpravodaj</w:t>
            </w:r>
          </w:p>
        </w:tc>
        <w:tc>
          <w:tcPr>
            <w:tcW w:w="3670" w:type="dxa"/>
            <w:vMerge/>
            <w:hideMark/>
          </w:tcPr>
          <w:p w14:paraId="7AA58042" w14:textId="77777777" w:rsidR="00A2465F" w:rsidRPr="0049404D" w:rsidRDefault="00A2465F" w:rsidP="00CA687F">
            <w:pPr>
              <w:rPr>
                <w:rFonts w:eastAsia="Times New Roman"/>
                <w:color w:val="000000"/>
                <w:lang w:eastAsia="cs-CZ"/>
              </w:rPr>
            </w:pPr>
          </w:p>
        </w:tc>
      </w:tr>
      <w:tr w:rsidR="00A2465F" w:rsidRPr="00315338" w14:paraId="0A78A12D" w14:textId="77777777" w:rsidTr="00A17E46">
        <w:trPr>
          <w:trHeight w:val="286"/>
        </w:trPr>
        <w:tc>
          <w:tcPr>
            <w:tcW w:w="1965" w:type="dxa"/>
            <w:vMerge/>
            <w:shd w:val="clear" w:color="auto" w:fill="E2EFD9" w:themeFill="accent6" w:themeFillTint="33"/>
            <w:hideMark/>
          </w:tcPr>
          <w:p w14:paraId="53468F1D" w14:textId="77777777" w:rsidR="00A2465F" w:rsidRPr="0049404D" w:rsidRDefault="00A2465F" w:rsidP="00CA687F">
            <w:pPr>
              <w:rPr>
                <w:rFonts w:eastAsia="Times New Roman"/>
                <w:color w:val="000000"/>
                <w:lang w:eastAsia="cs-CZ"/>
              </w:rPr>
            </w:pPr>
          </w:p>
        </w:tc>
        <w:tc>
          <w:tcPr>
            <w:tcW w:w="2877" w:type="dxa"/>
            <w:hideMark/>
          </w:tcPr>
          <w:p w14:paraId="54ED26CC" w14:textId="32CB1B37" w:rsidR="00A2465F" w:rsidRPr="0049404D" w:rsidRDefault="00A2465F" w:rsidP="00CA687F">
            <w:pPr>
              <w:rPr>
                <w:rFonts w:eastAsia="Times New Roman"/>
                <w:color w:val="000000"/>
                <w:lang w:eastAsia="cs-CZ"/>
              </w:rPr>
            </w:pPr>
            <w:r w:rsidRPr="0049404D">
              <w:rPr>
                <w:rFonts w:eastAsia="Times New Roman"/>
                <w:color w:val="000000"/>
                <w:lang w:eastAsia="cs-CZ"/>
              </w:rPr>
              <w:t>Osobní</w:t>
            </w:r>
            <w:r w:rsidR="00B329B6">
              <w:rPr>
                <w:rFonts w:eastAsia="Times New Roman"/>
                <w:color w:val="000000"/>
                <w:lang w:eastAsia="cs-CZ"/>
              </w:rPr>
              <w:t xml:space="preserve">/elektronická </w:t>
            </w:r>
            <w:r w:rsidRPr="0049404D">
              <w:rPr>
                <w:rFonts w:eastAsia="Times New Roman"/>
                <w:color w:val="000000"/>
                <w:lang w:eastAsia="cs-CZ"/>
              </w:rPr>
              <w:t>komunikace</w:t>
            </w:r>
          </w:p>
        </w:tc>
        <w:tc>
          <w:tcPr>
            <w:tcW w:w="3670" w:type="dxa"/>
            <w:vMerge/>
            <w:hideMark/>
          </w:tcPr>
          <w:p w14:paraId="28F64317" w14:textId="77777777" w:rsidR="00A2465F" w:rsidRPr="0049404D" w:rsidRDefault="00A2465F" w:rsidP="00CA687F">
            <w:pPr>
              <w:rPr>
                <w:rFonts w:eastAsia="Times New Roman"/>
                <w:color w:val="000000"/>
                <w:lang w:eastAsia="cs-CZ"/>
              </w:rPr>
            </w:pPr>
          </w:p>
        </w:tc>
      </w:tr>
      <w:tr w:rsidR="006429F3" w:rsidRPr="00315338" w14:paraId="32C3F18E" w14:textId="77777777" w:rsidTr="00A17E46">
        <w:trPr>
          <w:trHeight w:val="286"/>
        </w:trPr>
        <w:tc>
          <w:tcPr>
            <w:tcW w:w="1965" w:type="dxa"/>
            <w:vMerge w:val="restart"/>
            <w:shd w:val="clear" w:color="auto" w:fill="E2EFD9" w:themeFill="accent6" w:themeFillTint="33"/>
            <w:noWrap/>
            <w:hideMark/>
          </w:tcPr>
          <w:p w14:paraId="50CBEA54" w14:textId="77777777" w:rsidR="006429F3" w:rsidRPr="0049404D" w:rsidRDefault="006429F3" w:rsidP="00CA687F">
            <w:pPr>
              <w:jc w:val="center"/>
              <w:rPr>
                <w:rFonts w:eastAsia="Times New Roman"/>
                <w:color w:val="000000"/>
                <w:lang w:eastAsia="cs-CZ"/>
              </w:rPr>
            </w:pPr>
            <w:r w:rsidRPr="0049404D">
              <w:rPr>
                <w:rFonts w:eastAsia="Times New Roman"/>
                <w:color w:val="000000"/>
                <w:lang w:eastAsia="cs-CZ"/>
              </w:rPr>
              <w:t>průběžně</w:t>
            </w:r>
          </w:p>
        </w:tc>
        <w:tc>
          <w:tcPr>
            <w:tcW w:w="2877" w:type="dxa"/>
            <w:noWrap/>
            <w:hideMark/>
          </w:tcPr>
          <w:p w14:paraId="39E96E16" w14:textId="77777777" w:rsidR="006429F3" w:rsidRPr="0049404D" w:rsidRDefault="006429F3" w:rsidP="00CA687F">
            <w:pPr>
              <w:rPr>
                <w:rFonts w:eastAsia="Times New Roman"/>
                <w:color w:val="000000"/>
                <w:lang w:eastAsia="cs-CZ"/>
              </w:rPr>
            </w:pPr>
            <w:r w:rsidRPr="0049404D">
              <w:rPr>
                <w:rFonts w:eastAsia="Times New Roman"/>
                <w:color w:val="000000"/>
                <w:lang w:eastAsia="cs-CZ"/>
              </w:rPr>
              <w:t>Webové stránky projektu</w:t>
            </w:r>
          </w:p>
        </w:tc>
        <w:tc>
          <w:tcPr>
            <w:tcW w:w="3670" w:type="dxa"/>
            <w:vMerge w:val="restart"/>
            <w:noWrap/>
            <w:hideMark/>
          </w:tcPr>
          <w:p w14:paraId="16B8F6C9" w14:textId="77777777" w:rsidR="006429F3" w:rsidRDefault="006429F3" w:rsidP="00CA687F">
            <w:pPr>
              <w:jc w:val="center"/>
              <w:rPr>
                <w:rFonts w:eastAsia="Times New Roman"/>
                <w:color w:val="000000"/>
                <w:lang w:eastAsia="cs-CZ"/>
              </w:rPr>
            </w:pPr>
            <w:r>
              <w:rPr>
                <w:rFonts w:eastAsia="Times New Roman"/>
                <w:color w:val="000000"/>
                <w:lang w:eastAsia="cs-CZ"/>
              </w:rPr>
              <w:t>Průběžné informace</w:t>
            </w:r>
          </w:p>
          <w:p w14:paraId="4B31061A" w14:textId="15C1B0E5" w:rsidR="006429F3" w:rsidRPr="0049404D" w:rsidRDefault="006429F3" w:rsidP="00CA687F">
            <w:pPr>
              <w:jc w:val="center"/>
              <w:rPr>
                <w:rFonts w:eastAsia="Times New Roman"/>
                <w:color w:val="000000"/>
                <w:lang w:eastAsia="cs-CZ"/>
              </w:rPr>
            </w:pPr>
            <w:r>
              <w:rPr>
                <w:rFonts w:eastAsia="Times New Roman"/>
                <w:color w:val="000000"/>
                <w:lang w:eastAsia="cs-CZ"/>
              </w:rPr>
              <w:t>a představení výstupů z jednotlivých fází zpracování</w:t>
            </w:r>
          </w:p>
        </w:tc>
      </w:tr>
      <w:tr w:rsidR="006429F3" w:rsidRPr="00315338" w14:paraId="06315A55" w14:textId="77777777" w:rsidTr="00A17E46">
        <w:trPr>
          <w:trHeight w:val="286"/>
        </w:trPr>
        <w:tc>
          <w:tcPr>
            <w:tcW w:w="1965" w:type="dxa"/>
            <w:vMerge/>
            <w:shd w:val="clear" w:color="auto" w:fill="E2EFD9" w:themeFill="accent6" w:themeFillTint="33"/>
            <w:hideMark/>
          </w:tcPr>
          <w:p w14:paraId="2216B3D2" w14:textId="77777777" w:rsidR="006429F3" w:rsidRPr="0049404D" w:rsidRDefault="006429F3" w:rsidP="00CA687F">
            <w:pPr>
              <w:rPr>
                <w:rFonts w:eastAsia="Times New Roman"/>
                <w:color w:val="000000"/>
                <w:lang w:eastAsia="cs-CZ"/>
              </w:rPr>
            </w:pPr>
          </w:p>
        </w:tc>
        <w:tc>
          <w:tcPr>
            <w:tcW w:w="2877" w:type="dxa"/>
            <w:noWrap/>
            <w:hideMark/>
          </w:tcPr>
          <w:p w14:paraId="5BFD53F5" w14:textId="77777777" w:rsidR="006429F3" w:rsidRPr="0049404D" w:rsidRDefault="006429F3" w:rsidP="00CA687F">
            <w:pPr>
              <w:rPr>
                <w:rFonts w:eastAsia="Times New Roman"/>
                <w:color w:val="000000"/>
                <w:lang w:eastAsia="cs-CZ"/>
              </w:rPr>
            </w:pPr>
            <w:r w:rsidRPr="0049404D">
              <w:rPr>
                <w:rFonts w:eastAsia="Times New Roman"/>
                <w:color w:val="000000"/>
                <w:lang w:eastAsia="cs-CZ"/>
              </w:rPr>
              <w:t>Facebook</w:t>
            </w:r>
          </w:p>
        </w:tc>
        <w:tc>
          <w:tcPr>
            <w:tcW w:w="3670" w:type="dxa"/>
            <w:vMerge/>
            <w:hideMark/>
          </w:tcPr>
          <w:p w14:paraId="208AC196" w14:textId="77777777" w:rsidR="006429F3" w:rsidRPr="0049404D" w:rsidRDefault="006429F3" w:rsidP="00CA687F">
            <w:pPr>
              <w:rPr>
                <w:rFonts w:eastAsia="Times New Roman"/>
                <w:color w:val="000000"/>
                <w:lang w:eastAsia="cs-CZ"/>
              </w:rPr>
            </w:pPr>
          </w:p>
        </w:tc>
      </w:tr>
      <w:tr w:rsidR="006429F3" w:rsidRPr="00315338" w14:paraId="6D88C1CF" w14:textId="77777777" w:rsidTr="00A17E46">
        <w:trPr>
          <w:trHeight w:val="286"/>
        </w:trPr>
        <w:tc>
          <w:tcPr>
            <w:tcW w:w="1965" w:type="dxa"/>
            <w:vMerge/>
            <w:shd w:val="clear" w:color="auto" w:fill="E2EFD9" w:themeFill="accent6" w:themeFillTint="33"/>
            <w:hideMark/>
          </w:tcPr>
          <w:p w14:paraId="2E632341" w14:textId="77777777" w:rsidR="006429F3" w:rsidRPr="0049404D" w:rsidRDefault="006429F3" w:rsidP="00CA687F">
            <w:pPr>
              <w:rPr>
                <w:rFonts w:eastAsia="Times New Roman"/>
                <w:color w:val="000000"/>
                <w:lang w:eastAsia="cs-CZ"/>
              </w:rPr>
            </w:pPr>
          </w:p>
        </w:tc>
        <w:tc>
          <w:tcPr>
            <w:tcW w:w="2877" w:type="dxa"/>
            <w:noWrap/>
            <w:hideMark/>
          </w:tcPr>
          <w:p w14:paraId="2C4C4D2E" w14:textId="77777777" w:rsidR="006429F3" w:rsidRPr="0049404D" w:rsidRDefault="006429F3" w:rsidP="00CA687F">
            <w:pPr>
              <w:rPr>
                <w:rFonts w:eastAsia="Times New Roman"/>
                <w:color w:val="000000"/>
                <w:lang w:eastAsia="cs-CZ"/>
              </w:rPr>
            </w:pPr>
            <w:r>
              <w:rPr>
                <w:rFonts w:eastAsia="Times New Roman"/>
                <w:color w:val="000000"/>
                <w:lang w:eastAsia="cs-CZ"/>
              </w:rPr>
              <w:t>Jablunkovský</w:t>
            </w:r>
            <w:r w:rsidRPr="0049404D">
              <w:rPr>
                <w:rFonts w:eastAsia="Times New Roman"/>
                <w:color w:val="000000"/>
                <w:lang w:eastAsia="cs-CZ"/>
              </w:rPr>
              <w:t xml:space="preserve"> zpravodaj</w:t>
            </w:r>
          </w:p>
        </w:tc>
        <w:tc>
          <w:tcPr>
            <w:tcW w:w="3670" w:type="dxa"/>
            <w:vMerge/>
            <w:hideMark/>
          </w:tcPr>
          <w:p w14:paraId="0639AC04" w14:textId="77777777" w:rsidR="006429F3" w:rsidRPr="0049404D" w:rsidRDefault="006429F3" w:rsidP="00CA687F">
            <w:pPr>
              <w:rPr>
                <w:rFonts w:eastAsia="Times New Roman"/>
                <w:color w:val="000000"/>
                <w:lang w:eastAsia="cs-CZ"/>
              </w:rPr>
            </w:pPr>
          </w:p>
        </w:tc>
      </w:tr>
      <w:tr w:rsidR="006429F3" w:rsidRPr="00315338" w14:paraId="0266AE7A" w14:textId="77777777" w:rsidTr="00A17E46">
        <w:trPr>
          <w:trHeight w:val="286"/>
        </w:trPr>
        <w:tc>
          <w:tcPr>
            <w:tcW w:w="1965" w:type="dxa"/>
            <w:vMerge/>
            <w:shd w:val="clear" w:color="auto" w:fill="E2EFD9" w:themeFill="accent6" w:themeFillTint="33"/>
          </w:tcPr>
          <w:p w14:paraId="4FE8BE59" w14:textId="77777777" w:rsidR="006429F3" w:rsidRPr="0049404D" w:rsidRDefault="006429F3" w:rsidP="00CA687F">
            <w:pPr>
              <w:rPr>
                <w:rFonts w:eastAsia="Times New Roman"/>
                <w:color w:val="000000"/>
                <w:lang w:eastAsia="cs-CZ"/>
              </w:rPr>
            </w:pPr>
          </w:p>
        </w:tc>
        <w:tc>
          <w:tcPr>
            <w:tcW w:w="2877" w:type="dxa"/>
            <w:noWrap/>
          </w:tcPr>
          <w:p w14:paraId="2EDB41C9" w14:textId="5C2434B8" w:rsidR="006429F3" w:rsidRDefault="006429F3" w:rsidP="00CA687F">
            <w:pPr>
              <w:rPr>
                <w:rFonts w:eastAsia="Times New Roman"/>
                <w:color w:val="000000"/>
                <w:lang w:eastAsia="cs-CZ"/>
              </w:rPr>
            </w:pPr>
            <w:r>
              <w:rPr>
                <w:rFonts w:eastAsia="Times New Roman"/>
                <w:color w:val="000000"/>
                <w:lang w:eastAsia="cs-CZ"/>
              </w:rPr>
              <w:t>Osobní/elektronická komunikace</w:t>
            </w:r>
          </w:p>
        </w:tc>
        <w:tc>
          <w:tcPr>
            <w:tcW w:w="3670" w:type="dxa"/>
            <w:vMerge/>
          </w:tcPr>
          <w:p w14:paraId="2C77939D" w14:textId="77777777" w:rsidR="006429F3" w:rsidRPr="0049404D" w:rsidRDefault="006429F3" w:rsidP="00CA687F">
            <w:pPr>
              <w:rPr>
                <w:rFonts w:eastAsia="Times New Roman"/>
                <w:color w:val="000000"/>
                <w:lang w:eastAsia="cs-CZ"/>
              </w:rPr>
            </w:pPr>
          </w:p>
        </w:tc>
      </w:tr>
      <w:tr w:rsidR="00CF3C8F" w:rsidRPr="00315338" w14:paraId="20BFBF70" w14:textId="77777777" w:rsidTr="00A17E46">
        <w:trPr>
          <w:trHeight w:val="300"/>
        </w:trPr>
        <w:tc>
          <w:tcPr>
            <w:tcW w:w="1965" w:type="dxa"/>
            <w:vMerge w:val="restart"/>
            <w:shd w:val="clear" w:color="auto" w:fill="E2EFD9" w:themeFill="accent6" w:themeFillTint="33"/>
          </w:tcPr>
          <w:p w14:paraId="392E2FAC" w14:textId="3FD8EF79" w:rsidR="00CF3C8F" w:rsidRPr="0049404D" w:rsidRDefault="00CF3C8F" w:rsidP="00CA687F">
            <w:pPr>
              <w:jc w:val="center"/>
              <w:rPr>
                <w:rFonts w:eastAsia="Times New Roman"/>
                <w:color w:val="000000"/>
                <w:lang w:eastAsia="cs-CZ"/>
              </w:rPr>
            </w:pPr>
            <w:r>
              <w:rPr>
                <w:rFonts w:eastAsia="Times New Roman"/>
                <w:color w:val="000000"/>
                <w:lang w:eastAsia="cs-CZ"/>
              </w:rPr>
              <w:lastRenderedPageBreak/>
              <w:t>d</w:t>
            </w:r>
            <w:r w:rsidRPr="0073535C">
              <w:rPr>
                <w:rFonts w:eastAsia="Times New Roman"/>
                <w:color w:val="000000"/>
                <w:lang w:eastAsia="cs-CZ"/>
              </w:rPr>
              <w:t>le potřeby, nejdříve po uplynutí 6 měsíců od poslední aktualizace</w:t>
            </w:r>
          </w:p>
        </w:tc>
        <w:tc>
          <w:tcPr>
            <w:tcW w:w="2877" w:type="dxa"/>
            <w:noWrap/>
          </w:tcPr>
          <w:p w14:paraId="3BE7BA98" w14:textId="781742ED" w:rsidR="00CF3C8F" w:rsidRPr="0049404D" w:rsidRDefault="00CF3C8F" w:rsidP="00CA687F">
            <w:pPr>
              <w:rPr>
                <w:rFonts w:eastAsia="Times New Roman"/>
                <w:color w:val="000000"/>
                <w:lang w:eastAsia="cs-CZ"/>
              </w:rPr>
            </w:pPr>
            <w:r w:rsidRPr="0049404D">
              <w:rPr>
                <w:rFonts w:eastAsia="Times New Roman"/>
                <w:color w:val="000000"/>
                <w:lang w:eastAsia="cs-CZ"/>
              </w:rPr>
              <w:t>Webové stránky projektu</w:t>
            </w:r>
          </w:p>
        </w:tc>
        <w:tc>
          <w:tcPr>
            <w:tcW w:w="3670" w:type="dxa"/>
            <w:vMerge w:val="restart"/>
          </w:tcPr>
          <w:p w14:paraId="43EE1C48" w14:textId="00C85D95" w:rsidR="00CF3C8F" w:rsidRPr="00CA687F" w:rsidRDefault="00CF3C8F" w:rsidP="00CA687F">
            <w:pPr>
              <w:jc w:val="center"/>
              <w:rPr>
                <w:rFonts w:eastAsia="Times New Roman"/>
                <w:color w:val="000000"/>
                <w:lang w:eastAsia="cs-CZ"/>
              </w:rPr>
            </w:pPr>
            <w:r>
              <w:rPr>
                <w:rFonts w:eastAsia="Times New Roman"/>
                <w:color w:val="000000"/>
                <w:lang w:eastAsia="cs-CZ"/>
              </w:rPr>
              <w:t>Strategický rámec, aktualizace investičních priorit, SWOT3 analýzy</w:t>
            </w:r>
          </w:p>
        </w:tc>
      </w:tr>
      <w:tr w:rsidR="00CF3C8F" w:rsidRPr="00315338" w14:paraId="54543AFC" w14:textId="77777777" w:rsidTr="00A17E46">
        <w:trPr>
          <w:trHeight w:val="286"/>
        </w:trPr>
        <w:tc>
          <w:tcPr>
            <w:tcW w:w="1965" w:type="dxa"/>
            <w:vMerge/>
            <w:shd w:val="clear" w:color="auto" w:fill="E2EFD9" w:themeFill="accent6" w:themeFillTint="33"/>
          </w:tcPr>
          <w:p w14:paraId="23D3E922" w14:textId="77777777" w:rsidR="00CF3C8F" w:rsidRPr="0073535C" w:rsidRDefault="00CF3C8F" w:rsidP="00CA687F">
            <w:pPr>
              <w:jc w:val="center"/>
              <w:rPr>
                <w:rFonts w:eastAsia="Times New Roman"/>
                <w:color w:val="000000"/>
                <w:lang w:eastAsia="cs-CZ"/>
              </w:rPr>
            </w:pPr>
          </w:p>
        </w:tc>
        <w:tc>
          <w:tcPr>
            <w:tcW w:w="2877" w:type="dxa"/>
            <w:noWrap/>
          </w:tcPr>
          <w:p w14:paraId="13A39612" w14:textId="2F6F87E4" w:rsidR="00CF3C8F" w:rsidRPr="0049404D" w:rsidRDefault="00CF3C8F" w:rsidP="00CA687F">
            <w:pPr>
              <w:rPr>
                <w:rFonts w:eastAsia="Times New Roman"/>
                <w:color w:val="000000"/>
                <w:lang w:eastAsia="cs-CZ"/>
              </w:rPr>
            </w:pPr>
            <w:r w:rsidRPr="0049404D">
              <w:rPr>
                <w:rFonts w:eastAsia="Times New Roman"/>
                <w:color w:val="000000"/>
                <w:lang w:eastAsia="cs-CZ"/>
              </w:rPr>
              <w:t>Facebook</w:t>
            </w:r>
          </w:p>
        </w:tc>
        <w:tc>
          <w:tcPr>
            <w:tcW w:w="3670" w:type="dxa"/>
            <w:vMerge/>
          </w:tcPr>
          <w:p w14:paraId="05C0E66B" w14:textId="77777777" w:rsidR="00CF3C8F" w:rsidRPr="0049404D" w:rsidRDefault="00CF3C8F" w:rsidP="00CA687F">
            <w:pPr>
              <w:rPr>
                <w:rFonts w:eastAsia="Times New Roman"/>
                <w:color w:val="000000"/>
                <w:lang w:eastAsia="cs-CZ"/>
              </w:rPr>
            </w:pPr>
          </w:p>
        </w:tc>
      </w:tr>
      <w:tr w:rsidR="00CF3C8F" w:rsidRPr="00315338" w14:paraId="56ECC834" w14:textId="77777777" w:rsidTr="00A17E46">
        <w:trPr>
          <w:trHeight w:val="286"/>
        </w:trPr>
        <w:tc>
          <w:tcPr>
            <w:tcW w:w="1965" w:type="dxa"/>
            <w:vMerge/>
            <w:shd w:val="clear" w:color="auto" w:fill="E2EFD9" w:themeFill="accent6" w:themeFillTint="33"/>
          </w:tcPr>
          <w:p w14:paraId="0AFD5F3C" w14:textId="77777777" w:rsidR="00CF3C8F" w:rsidRPr="0073535C" w:rsidRDefault="00CF3C8F" w:rsidP="00CA687F">
            <w:pPr>
              <w:jc w:val="center"/>
              <w:rPr>
                <w:rFonts w:eastAsia="Times New Roman"/>
                <w:color w:val="000000"/>
                <w:lang w:eastAsia="cs-CZ"/>
              </w:rPr>
            </w:pPr>
          </w:p>
        </w:tc>
        <w:tc>
          <w:tcPr>
            <w:tcW w:w="2877" w:type="dxa"/>
            <w:noWrap/>
          </w:tcPr>
          <w:p w14:paraId="353B27B0" w14:textId="64BD112A" w:rsidR="00CF3C8F" w:rsidRPr="0049404D" w:rsidRDefault="00CF3C8F" w:rsidP="00CA687F">
            <w:pPr>
              <w:rPr>
                <w:rFonts w:eastAsia="Times New Roman"/>
                <w:color w:val="000000"/>
                <w:lang w:eastAsia="cs-CZ"/>
              </w:rPr>
            </w:pPr>
            <w:r>
              <w:rPr>
                <w:rFonts w:eastAsia="Times New Roman"/>
                <w:color w:val="000000"/>
                <w:lang w:eastAsia="cs-CZ"/>
              </w:rPr>
              <w:t>Jablunkovský</w:t>
            </w:r>
            <w:r w:rsidRPr="0049404D">
              <w:rPr>
                <w:rFonts w:eastAsia="Times New Roman"/>
                <w:color w:val="000000"/>
                <w:lang w:eastAsia="cs-CZ"/>
              </w:rPr>
              <w:t xml:space="preserve"> zpravodaj</w:t>
            </w:r>
          </w:p>
        </w:tc>
        <w:tc>
          <w:tcPr>
            <w:tcW w:w="3670" w:type="dxa"/>
            <w:vMerge/>
          </w:tcPr>
          <w:p w14:paraId="396E48D4" w14:textId="77777777" w:rsidR="00CF3C8F" w:rsidRPr="0049404D" w:rsidRDefault="00CF3C8F" w:rsidP="00CA687F">
            <w:pPr>
              <w:rPr>
                <w:rFonts w:eastAsia="Times New Roman"/>
                <w:color w:val="000000"/>
                <w:lang w:eastAsia="cs-CZ"/>
              </w:rPr>
            </w:pPr>
          </w:p>
        </w:tc>
      </w:tr>
      <w:tr w:rsidR="00CF3C8F" w:rsidRPr="00315338" w14:paraId="2C8DCC7A" w14:textId="77777777" w:rsidTr="00A17E46">
        <w:trPr>
          <w:trHeight w:val="286"/>
        </w:trPr>
        <w:tc>
          <w:tcPr>
            <w:tcW w:w="1965" w:type="dxa"/>
            <w:vMerge/>
            <w:shd w:val="clear" w:color="auto" w:fill="E2EFD9" w:themeFill="accent6" w:themeFillTint="33"/>
          </w:tcPr>
          <w:p w14:paraId="4B45297E" w14:textId="77777777" w:rsidR="00CF3C8F" w:rsidRPr="0073535C" w:rsidRDefault="00CF3C8F" w:rsidP="00CA687F">
            <w:pPr>
              <w:jc w:val="center"/>
              <w:rPr>
                <w:rFonts w:eastAsia="Times New Roman"/>
                <w:color w:val="000000"/>
                <w:lang w:eastAsia="cs-CZ"/>
              </w:rPr>
            </w:pPr>
          </w:p>
        </w:tc>
        <w:tc>
          <w:tcPr>
            <w:tcW w:w="2877" w:type="dxa"/>
            <w:noWrap/>
          </w:tcPr>
          <w:p w14:paraId="3755A52F" w14:textId="49F23E8B" w:rsidR="00CF3C8F" w:rsidRPr="0049404D" w:rsidRDefault="00CF3C8F" w:rsidP="00CA687F">
            <w:pPr>
              <w:rPr>
                <w:rFonts w:eastAsia="Times New Roman"/>
                <w:color w:val="000000"/>
                <w:lang w:eastAsia="cs-CZ"/>
              </w:rPr>
            </w:pPr>
            <w:r w:rsidRPr="0049404D">
              <w:rPr>
                <w:rFonts w:eastAsia="Times New Roman"/>
                <w:color w:val="000000"/>
                <w:lang w:eastAsia="cs-CZ"/>
              </w:rPr>
              <w:t>Osobní</w:t>
            </w:r>
            <w:r>
              <w:rPr>
                <w:rFonts w:eastAsia="Times New Roman"/>
                <w:color w:val="000000"/>
                <w:lang w:eastAsia="cs-CZ"/>
              </w:rPr>
              <w:t>/elektronická</w:t>
            </w:r>
            <w:r w:rsidRPr="0049404D">
              <w:rPr>
                <w:rFonts w:eastAsia="Times New Roman"/>
                <w:color w:val="000000"/>
                <w:lang w:eastAsia="cs-CZ"/>
              </w:rPr>
              <w:t xml:space="preserve"> komunikace</w:t>
            </w:r>
          </w:p>
        </w:tc>
        <w:tc>
          <w:tcPr>
            <w:tcW w:w="3670" w:type="dxa"/>
            <w:vMerge/>
          </w:tcPr>
          <w:p w14:paraId="6BAED0D1" w14:textId="77777777" w:rsidR="00CF3C8F" w:rsidRPr="0049404D" w:rsidRDefault="00CF3C8F" w:rsidP="00CA687F">
            <w:pPr>
              <w:rPr>
                <w:rFonts w:eastAsia="Times New Roman"/>
                <w:color w:val="000000"/>
                <w:lang w:eastAsia="cs-CZ"/>
              </w:rPr>
            </w:pPr>
          </w:p>
        </w:tc>
      </w:tr>
    </w:tbl>
    <w:p w14:paraId="4E04F80B" w14:textId="25927762" w:rsidR="00C91884" w:rsidRDefault="00C91884" w:rsidP="0078393F">
      <w:pPr>
        <w:spacing w:line="276" w:lineRule="auto"/>
        <w:jc w:val="both"/>
        <w:rPr>
          <w:highlight w:val="yellow"/>
        </w:rPr>
      </w:pPr>
    </w:p>
    <w:p w14:paraId="3FD89125" w14:textId="03499D12" w:rsidR="00575807" w:rsidRPr="0060096A" w:rsidRDefault="009567CB" w:rsidP="0078393F">
      <w:pPr>
        <w:pStyle w:val="Nadpis2"/>
        <w:spacing w:line="276" w:lineRule="auto"/>
        <w:jc w:val="both"/>
        <w:rPr>
          <w:b/>
          <w:color w:val="538135" w:themeColor="accent6" w:themeShade="BF"/>
        </w:rPr>
      </w:pPr>
      <w:r w:rsidRPr="00822F63">
        <w:rPr>
          <w:b/>
          <w:color w:val="538135" w:themeColor="accent6" w:themeShade="BF"/>
        </w:rPr>
        <w:t>Zapojení jednotlivých cílových skupin</w:t>
      </w:r>
    </w:p>
    <w:p w14:paraId="4D090D42" w14:textId="411A246D" w:rsidR="00575807" w:rsidRDefault="00575807" w:rsidP="0078393F">
      <w:pPr>
        <w:pStyle w:val="Nadpis3"/>
        <w:spacing w:line="276" w:lineRule="auto"/>
        <w:jc w:val="both"/>
        <w:rPr>
          <w:b/>
          <w:color w:val="538135" w:themeColor="accent6" w:themeShade="BF"/>
        </w:rPr>
      </w:pPr>
      <w:r>
        <w:rPr>
          <w:b/>
          <w:color w:val="538135" w:themeColor="accent6" w:themeShade="BF"/>
        </w:rPr>
        <w:t>Rodiče dětí a žáků (případně zákonní zástupci)</w:t>
      </w:r>
    </w:p>
    <w:p w14:paraId="5D3A5894" w14:textId="7AC4365E" w:rsidR="00575807" w:rsidRPr="00575807" w:rsidRDefault="00575807" w:rsidP="0078393F">
      <w:pPr>
        <w:spacing w:line="276" w:lineRule="auto"/>
        <w:jc w:val="both"/>
      </w:pPr>
      <w:r w:rsidRPr="00575807">
        <w:t>Realizace projektu bude mít pozitivní dopad na zvýšení kvality vzdělávání dětí a žáků, což bude mít pozitivní dopad také na jejich rodiče. Ti hrají nezastupitelnou roli v podpoře potenciálu dítěte. Rodiče a zákonní zástupci dětí v MŠ a žáků v ZŠ jsou v MAP velmi silnou cílovou skupinou. Jejich počet se odvíjí od počtu dětí v MŠ a od počtu žáků v ZŠ. Rodiče potřebují dostávat pravdivé a pravidelné informace o vzdělávání a výsledcích svých dětí, aby měli pocit jistoty, že je vše s jejich dětmi v pořádku. A potřebují odbornou podporu, aby mohli se školou účinně spolupracovat. Je potřeba budovat důvěru rodičů ve školu. Je žádoucí, aby se rodiče a zákonní zástupci podíleli na procesu zkvalitňování vzdělávání v území, pomáhali vytvářet příznivé školní klima.</w:t>
      </w:r>
    </w:p>
    <w:p w14:paraId="6392DBDB" w14:textId="1F13935D" w:rsidR="00575807" w:rsidRDefault="00575807" w:rsidP="0078393F">
      <w:pPr>
        <w:pStyle w:val="Nadpis3"/>
        <w:spacing w:line="276" w:lineRule="auto"/>
        <w:jc w:val="both"/>
        <w:rPr>
          <w:b/>
          <w:color w:val="538135" w:themeColor="accent6" w:themeShade="BF"/>
        </w:rPr>
      </w:pPr>
      <w:r>
        <w:rPr>
          <w:b/>
          <w:color w:val="538135" w:themeColor="accent6" w:themeShade="BF"/>
        </w:rPr>
        <w:t>Ostatní aktéři v oblasti vzdělávání</w:t>
      </w:r>
    </w:p>
    <w:p w14:paraId="7F5BDDE4" w14:textId="1A8AE5F1" w:rsidR="00575807" w:rsidRDefault="00575807" w:rsidP="0078393F">
      <w:pPr>
        <w:spacing w:line="276" w:lineRule="auto"/>
        <w:jc w:val="both"/>
      </w:pPr>
      <w:r w:rsidRPr="00575807">
        <w:t>Vzdělávání je celoživotní proces, který se neodehrává jen v prostředí školy, ale jeho stále významnější část představuje vzdělávání mimo školu. Motivaci k maximálnímu úspěchu každého žáka je potřeba rozvíjet i ve spolupráci škol s dalšími aktéry ve vzdělávání, kterými jsou např. organizace neformálního a zájmového vzdělávání, vyšší stupně vzdělávání (SŠ), asistenční služby ve vzdělávání, zástupci zaměstnavatelů, zástupci NPI ČR, ČŠI aj., tak, aby se využil místní potenciál pro rozšíření příležitostí pro učení se žáků nebo pro sdílení a výměnu dobrých zkušeností mezi pedagogickými a dalšími pracovníky jednotlivých sektorů ovlivňujících vzdělávání. V rámci procesu tvorby a rozvoje MAP budou opět přizváni pracovníci těchto organizací jako členové ŘV a PS či spolupracující organizace, čímž přispějeme k vybudování efektivní a smysluplné propojenosti uvedených oblastí. Konkrétně se jedná např. o:</w:t>
      </w:r>
    </w:p>
    <w:p w14:paraId="4A3E9519" w14:textId="3A539214" w:rsidR="00575807" w:rsidRDefault="00575807" w:rsidP="0078393F">
      <w:pPr>
        <w:pStyle w:val="Odstavecseseznamem"/>
        <w:numPr>
          <w:ilvl w:val="0"/>
          <w:numId w:val="30"/>
        </w:numPr>
        <w:spacing w:line="276" w:lineRule="auto"/>
        <w:ind w:left="709" w:hanging="567"/>
      </w:pPr>
      <w:r>
        <w:t xml:space="preserve">Dům dětí a mládeže, Jablunkov, Dukelská 145, příspěvková organizace  </w:t>
      </w:r>
    </w:p>
    <w:p w14:paraId="5DEAC71B" w14:textId="4D170BEF" w:rsidR="00575807" w:rsidRDefault="00575807" w:rsidP="0078393F">
      <w:pPr>
        <w:pStyle w:val="Odstavecseseznamem"/>
        <w:numPr>
          <w:ilvl w:val="0"/>
          <w:numId w:val="30"/>
        </w:numPr>
        <w:spacing w:line="276" w:lineRule="auto"/>
        <w:ind w:left="709" w:hanging="567"/>
      </w:pPr>
      <w:r>
        <w:t>URSUS zážitkové centrum, Dolní Lomná</w:t>
      </w:r>
    </w:p>
    <w:p w14:paraId="12E54DA6" w14:textId="403A17F0" w:rsidR="00575807" w:rsidRDefault="00575807" w:rsidP="0078393F">
      <w:pPr>
        <w:pStyle w:val="Odstavecseseznamem"/>
        <w:numPr>
          <w:ilvl w:val="0"/>
          <w:numId w:val="30"/>
        </w:numPr>
        <w:spacing w:line="276" w:lineRule="auto"/>
        <w:ind w:left="709" w:hanging="567"/>
      </w:pPr>
      <w:r>
        <w:t>Jablunkovské centrum kultury a informací, p.o.</w:t>
      </w:r>
    </w:p>
    <w:p w14:paraId="01E08FEE" w14:textId="29C4E255" w:rsidR="00575807" w:rsidRDefault="00575807" w:rsidP="0078393F">
      <w:pPr>
        <w:pStyle w:val="Odstavecseseznamem"/>
        <w:numPr>
          <w:ilvl w:val="0"/>
          <w:numId w:val="30"/>
        </w:numPr>
        <w:spacing w:line="276" w:lineRule="auto"/>
        <w:ind w:left="709" w:hanging="567"/>
      </w:pPr>
      <w:r>
        <w:t>Knihovna Jablunkov</w:t>
      </w:r>
    </w:p>
    <w:p w14:paraId="1EFE60E6" w14:textId="7754FC5C" w:rsidR="00575807" w:rsidRDefault="00575807" w:rsidP="0078393F">
      <w:pPr>
        <w:pStyle w:val="Odstavecseseznamem"/>
        <w:numPr>
          <w:ilvl w:val="0"/>
          <w:numId w:val="30"/>
        </w:numPr>
        <w:spacing w:line="276" w:lineRule="auto"/>
        <w:ind w:left="709" w:hanging="567"/>
      </w:pPr>
      <w:r>
        <w:t>Muzeum Trojmezí Jablunkov</w:t>
      </w:r>
    </w:p>
    <w:p w14:paraId="1FD81D51" w14:textId="041DACB9" w:rsidR="00575807" w:rsidRDefault="00575807" w:rsidP="0078393F">
      <w:pPr>
        <w:pStyle w:val="Odstavecseseznamem"/>
        <w:numPr>
          <w:ilvl w:val="0"/>
          <w:numId w:val="30"/>
        </w:numPr>
        <w:spacing w:line="276" w:lineRule="auto"/>
        <w:ind w:left="709" w:hanging="567"/>
      </w:pPr>
      <w:r>
        <w:t>Komunitní centrum Mosty u Jablunkova</w:t>
      </w:r>
    </w:p>
    <w:p w14:paraId="40E97B07" w14:textId="5AD6A0DC" w:rsidR="00575807" w:rsidRDefault="00575807" w:rsidP="0078393F">
      <w:pPr>
        <w:pStyle w:val="Odstavecseseznamem"/>
        <w:numPr>
          <w:ilvl w:val="0"/>
          <w:numId w:val="30"/>
        </w:numPr>
        <w:spacing w:line="276" w:lineRule="auto"/>
        <w:ind w:left="709" w:hanging="567"/>
      </w:pPr>
      <w:r>
        <w:t>SŠ, Jablunkov, p.o.</w:t>
      </w:r>
    </w:p>
    <w:p w14:paraId="582183C6" w14:textId="0F07384D" w:rsidR="00575807" w:rsidRDefault="00575807" w:rsidP="0078393F">
      <w:pPr>
        <w:pStyle w:val="Odstavecseseznamem"/>
        <w:numPr>
          <w:ilvl w:val="0"/>
          <w:numId w:val="30"/>
        </w:numPr>
        <w:spacing w:line="276" w:lineRule="auto"/>
        <w:ind w:left="709" w:hanging="567"/>
      </w:pPr>
      <w:r>
        <w:t>ZUŠ Jablunkov</w:t>
      </w:r>
    </w:p>
    <w:p w14:paraId="18C920AB" w14:textId="3F688B4F" w:rsidR="00575807" w:rsidRDefault="00575807" w:rsidP="0078393F">
      <w:pPr>
        <w:pStyle w:val="Odstavecseseznamem"/>
        <w:numPr>
          <w:ilvl w:val="0"/>
          <w:numId w:val="30"/>
        </w:numPr>
        <w:spacing w:line="276" w:lineRule="auto"/>
        <w:ind w:left="709" w:hanging="567"/>
      </w:pPr>
      <w:r>
        <w:t>NPI ČR</w:t>
      </w:r>
    </w:p>
    <w:p w14:paraId="76F6FC83" w14:textId="249433B3" w:rsidR="00575807" w:rsidRDefault="00575807" w:rsidP="0078393F">
      <w:pPr>
        <w:pStyle w:val="Odstavecseseznamem"/>
        <w:numPr>
          <w:ilvl w:val="0"/>
          <w:numId w:val="30"/>
        </w:numPr>
        <w:spacing w:line="276" w:lineRule="auto"/>
        <w:ind w:left="709" w:hanging="567"/>
      </w:pPr>
      <w:r>
        <w:t>Střední článek</w:t>
      </w:r>
    </w:p>
    <w:p w14:paraId="7C4216DC" w14:textId="0B785C82" w:rsidR="00575807" w:rsidRDefault="00575807" w:rsidP="0078393F">
      <w:pPr>
        <w:pStyle w:val="Odstavecseseznamem"/>
        <w:numPr>
          <w:ilvl w:val="0"/>
          <w:numId w:val="30"/>
        </w:numPr>
        <w:spacing w:line="276" w:lineRule="auto"/>
        <w:ind w:left="709" w:hanging="567"/>
      </w:pPr>
      <w:r>
        <w:t>projekt IDZ na úrovni Moravskoslezského kraje</w:t>
      </w:r>
    </w:p>
    <w:p w14:paraId="0E73FE12" w14:textId="13597B2C" w:rsidR="00575807" w:rsidRDefault="00575807" w:rsidP="0078393F">
      <w:pPr>
        <w:pStyle w:val="Odstavecseseznamem"/>
        <w:numPr>
          <w:ilvl w:val="0"/>
          <w:numId w:val="30"/>
        </w:numPr>
        <w:spacing w:line="276" w:lineRule="auto"/>
        <w:ind w:left="709" w:hanging="567"/>
      </w:pPr>
      <w:r>
        <w:t xml:space="preserve">Česká školní </w:t>
      </w:r>
      <w:r w:rsidR="00C62A2C">
        <w:t>inspekce – Moravskoslezský</w:t>
      </w:r>
      <w:r>
        <w:t xml:space="preserve"> inspektorát</w:t>
      </w:r>
    </w:p>
    <w:p w14:paraId="36A12448" w14:textId="77777777" w:rsidR="00575807" w:rsidRDefault="00575807" w:rsidP="0078393F">
      <w:pPr>
        <w:spacing w:line="276" w:lineRule="auto"/>
      </w:pPr>
      <w:r>
        <w:t>Spolupráci s těmito aktéry docílíme:</w:t>
      </w:r>
    </w:p>
    <w:p w14:paraId="5EF9A99C" w14:textId="36899E65" w:rsidR="00575807" w:rsidRDefault="00575807" w:rsidP="0078393F">
      <w:pPr>
        <w:pStyle w:val="Odstavecseseznamem"/>
        <w:numPr>
          <w:ilvl w:val="1"/>
          <w:numId w:val="27"/>
        </w:numPr>
        <w:spacing w:line="276" w:lineRule="auto"/>
        <w:ind w:left="567"/>
      </w:pPr>
      <w:r>
        <w:t>zvýšení informovanosti o aktivitách různých subjektů v rámci území,</w:t>
      </w:r>
    </w:p>
    <w:p w14:paraId="2AEC9C24" w14:textId="7F323834" w:rsidR="00575807" w:rsidRDefault="00575807" w:rsidP="0078393F">
      <w:pPr>
        <w:pStyle w:val="Odstavecseseznamem"/>
        <w:numPr>
          <w:ilvl w:val="1"/>
          <w:numId w:val="27"/>
        </w:numPr>
        <w:spacing w:line="276" w:lineRule="auto"/>
        <w:ind w:left="567"/>
      </w:pPr>
      <w:r>
        <w:t>spolupráce mezi formálním a neformálním vzděláváním,</w:t>
      </w:r>
    </w:p>
    <w:p w14:paraId="522EDC15" w14:textId="1C92398F" w:rsidR="00575807" w:rsidRDefault="00575807" w:rsidP="0078393F">
      <w:pPr>
        <w:pStyle w:val="Odstavecseseznamem"/>
        <w:numPr>
          <w:ilvl w:val="1"/>
          <w:numId w:val="27"/>
        </w:numPr>
        <w:spacing w:line="276" w:lineRule="auto"/>
        <w:ind w:left="567"/>
      </w:pPr>
      <w:r>
        <w:lastRenderedPageBreak/>
        <w:t>zvýšení důvěry, otevřenost a inspirace pro ostatní (ukazuje to, co dělají sousedi a ti druzí),</w:t>
      </w:r>
    </w:p>
    <w:p w14:paraId="6ABDE4A6" w14:textId="0F25AEC1" w:rsidR="00575807" w:rsidRDefault="00575807" w:rsidP="0078393F">
      <w:pPr>
        <w:pStyle w:val="Odstavecseseznamem"/>
        <w:numPr>
          <w:ilvl w:val="1"/>
          <w:numId w:val="27"/>
        </w:numPr>
        <w:spacing w:line="276" w:lineRule="auto"/>
        <w:ind w:left="567"/>
      </w:pPr>
      <w:r>
        <w:t>prohloubení spolupráce s neziskovými subjekty jak v oblasti vzdělávání, tak např. v sociální oblasti,</w:t>
      </w:r>
    </w:p>
    <w:p w14:paraId="11F9980A" w14:textId="7CE79A2A" w:rsidR="00575807" w:rsidRDefault="00575807" w:rsidP="0078393F">
      <w:pPr>
        <w:pStyle w:val="Odstavecseseznamem"/>
        <w:numPr>
          <w:ilvl w:val="1"/>
          <w:numId w:val="27"/>
        </w:numPr>
        <w:spacing w:line="276" w:lineRule="auto"/>
        <w:ind w:left="567"/>
      </w:pPr>
      <w:r>
        <w:t>zohlednění místních potřeb ve vzdělávání,</w:t>
      </w:r>
    </w:p>
    <w:p w14:paraId="2F4A620B" w14:textId="752AA5CE" w:rsidR="00575807" w:rsidRDefault="00575807" w:rsidP="0078393F">
      <w:pPr>
        <w:pStyle w:val="Odstavecseseznamem"/>
        <w:numPr>
          <w:ilvl w:val="1"/>
          <w:numId w:val="27"/>
        </w:numPr>
        <w:spacing w:line="276" w:lineRule="auto"/>
        <w:ind w:left="567"/>
      </w:pPr>
      <w:r>
        <w:t>zlepšení kvality vzdělávání, vzdělávání rozvíjejí kompetence pro osobní a pracovní život.,</w:t>
      </w:r>
    </w:p>
    <w:p w14:paraId="53A0127E" w14:textId="3DA42F93" w:rsidR="00575807" w:rsidRDefault="00575807" w:rsidP="0078393F">
      <w:pPr>
        <w:pStyle w:val="Odstavecseseznamem"/>
        <w:numPr>
          <w:ilvl w:val="1"/>
          <w:numId w:val="27"/>
        </w:numPr>
        <w:spacing w:line="276" w:lineRule="auto"/>
        <w:ind w:left="567"/>
      </w:pPr>
      <w:r>
        <w:t>inovace vzdělávacích programů u škol i neformálních vzdělavatelů,</w:t>
      </w:r>
    </w:p>
    <w:p w14:paraId="3EF24517" w14:textId="6743E56A" w:rsidR="00575807" w:rsidRDefault="00575807" w:rsidP="0078393F">
      <w:pPr>
        <w:pStyle w:val="Odstavecseseznamem"/>
        <w:numPr>
          <w:ilvl w:val="1"/>
          <w:numId w:val="27"/>
        </w:numPr>
        <w:spacing w:line="276" w:lineRule="auto"/>
        <w:ind w:left="567"/>
      </w:pPr>
      <w:r>
        <w:t>možnost vytváření společných postupů a metodik pro řízení škol,</w:t>
      </w:r>
    </w:p>
    <w:p w14:paraId="7C9D4248" w14:textId="0FD53C9E" w:rsidR="00575807" w:rsidRPr="00575807" w:rsidRDefault="00575807" w:rsidP="0078393F">
      <w:pPr>
        <w:pStyle w:val="Odstavecseseznamem"/>
        <w:numPr>
          <w:ilvl w:val="1"/>
          <w:numId w:val="27"/>
        </w:numPr>
        <w:spacing w:line="276" w:lineRule="auto"/>
        <w:ind w:left="567"/>
      </w:pPr>
      <w:r>
        <w:t>možnost využití dat pro dlouhodobé plánování</w:t>
      </w:r>
    </w:p>
    <w:p w14:paraId="077298EE" w14:textId="4398EFA1" w:rsidR="00575807" w:rsidRDefault="00575807" w:rsidP="0078393F">
      <w:pPr>
        <w:pStyle w:val="Nadpis3"/>
        <w:spacing w:line="276" w:lineRule="auto"/>
        <w:jc w:val="both"/>
        <w:rPr>
          <w:b/>
          <w:color w:val="538135" w:themeColor="accent6" w:themeShade="BF"/>
        </w:rPr>
      </w:pPr>
      <w:r>
        <w:rPr>
          <w:b/>
          <w:color w:val="538135" w:themeColor="accent6" w:themeShade="BF"/>
        </w:rPr>
        <w:t>Vedení škol a školských zařízení</w:t>
      </w:r>
    </w:p>
    <w:p w14:paraId="1039BB72" w14:textId="77777777" w:rsidR="00575807" w:rsidRDefault="00575807" w:rsidP="0078393F">
      <w:pPr>
        <w:spacing w:line="276" w:lineRule="auto"/>
        <w:jc w:val="both"/>
      </w:pPr>
      <w:r>
        <w:t xml:space="preserve">Vedení škol a školských zařízení a zřizovatelů představují jednu ze stěžejních cílových skupin projektu, jelikož jsou hlavními kontaktními zástupci zapojených organizací. V průběhu sestavování projektové žádosti aktivně komunikovali a spolupracovali s realizačním týmem, kdy udělili souhlas se zapojením svých škol do projektu a podíleli se zejména na sestavování implementačního plánu a reálných výstupů projektu, poskytovali návrhy a podněty k jednotlivým aktivitám tak, aby pak v průběhu realizace byly naplňovány jejich potřeby. </w:t>
      </w:r>
    </w:p>
    <w:p w14:paraId="40DA2599" w14:textId="77777777" w:rsidR="00575807" w:rsidRDefault="00575807" w:rsidP="0078393F">
      <w:pPr>
        <w:spacing w:line="276" w:lineRule="auto"/>
      </w:pPr>
      <w:r>
        <w:t>Zapojení do realizace projektu bude probíhat formou:</w:t>
      </w:r>
    </w:p>
    <w:p w14:paraId="0BE12CD0" w14:textId="0AE2E17C" w:rsidR="00575807" w:rsidRDefault="00575807" w:rsidP="0078393F">
      <w:pPr>
        <w:pStyle w:val="Odstavecseseznamem"/>
        <w:numPr>
          <w:ilvl w:val="1"/>
          <w:numId w:val="27"/>
        </w:numPr>
        <w:spacing w:line="276" w:lineRule="auto"/>
        <w:ind w:left="567"/>
      </w:pPr>
      <w:r>
        <w:t>účasti v řídícím výboru projektu MAP a v pracovních skupinách, zejména v PS pro financování</w:t>
      </w:r>
    </w:p>
    <w:p w14:paraId="5880CCF3" w14:textId="2E2471B7" w:rsidR="00575807" w:rsidRDefault="00575807" w:rsidP="0078393F">
      <w:pPr>
        <w:pStyle w:val="Odstavecseseznamem"/>
        <w:numPr>
          <w:ilvl w:val="1"/>
          <w:numId w:val="27"/>
        </w:numPr>
        <w:spacing w:line="276" w:lineRule="auto"/>
        <w:ind w:left="567"/>
      </w:pPr>
      <w:r>
        <w:t>spolupráce při tvorbě popisů potřeb škol</w:t>
      </w:r>
    </w:p>
    <w:p w14:paraId="6043789E" w14:textId="69DF3377" w:rsidR="00575807" w:rsidRDefault="00575807" w:rsidP="0078393F">
      <w:pPr>
        <w:pStyle w:val="Odstavecseseznamem"/>
        <w:numPr>
          <w:ilvl w:val="1"/>
          <w:numId w:val="27"/>
        </w:numPr>
        <w:spacing w:line="276" w:lineRule="auto"/>
        <w:ind w:left="567"/>
      </w:pPr>
      <w:r>
        <w:t xml:space="preserve">poskytování informací o potřebách v oblasti investic </w:t>
      </w:r>
    </w:p>
    <w:p w14:paraId="17772649" w14:textId="0567DECE" w:rsidR="00575807" w:rsidRDefault="00575807" w:rsidP="0078393F">
      <w:pPr>
        <w:pStyle w:val="Odstavecseseznamem"/>
        <w:numPr>
          <w:ilvl w:val="1"/>
          <w:numId w:val="27"/>
        </w:numPr>
        <w:spacing w:line="276" w:lineRule="auto"/>
        <w:ind w:left="567"/>
      </w:pPr>
      <w:r>
        <w:t>spolupráce při strategickém řízení a plánování, aktualizace dokumentu MAP, SR MAP</w:t>
      </w:r>
    </w:p>
    <w:p w14:paraId="51046CAD" w14:textId="2A8B2B46" w:rsidR="00575807" w:rsidRDefault="00575807" w:rsidP="0078393F">
      <w:pPr>
        <w:pStyle w:val="Odstavecseseznamem"/>
        <w:numPr>
          <w:ilvl w:val="1"/>
          <w:numId w:val="27"/>
        </w:numPr>
        <w:spacing w:line="276" w:lineRule="auto"/>
        <w:ind w:left="567"/>
      </w:pPr>
      <w:r>
        <w:t>spolupráce při naplňování komunikačního plánu a konzultačního procesu</w:t>
      </w:r>
    </w:p>
    <w:p w14:paraId="31C9FE7E" w14:textId="5B8938D2" w:rsidR="00575807" w:rsidRDefault="00575807" w:rsidP="0078393F">
      <w:pPr>
        <w:pStyle w:val="Odstavecseseznamem"/>
        <w:numPr>
          <w:ilvl w:val="1"/>
          <w:numId w:val="27"/>
        </w:numPr>
        <w:spacing w:line="276" w:lineRule="auto"/>
        <w:ind w:left="567"/>
      </w:pPr>
      <w:r>
        <w:t xml:space="preserve">spolupráce při naplňování implementačního plánu </w:t>
      </w:r>
    </w:p>
    <w:p w14:paraId="63556F2F" w14:textId="688D36EF" w:rsidR="00575807" w:rsidRDefault="00575807" w:rsidP="0078393F">
      <w:pPr>
        <w:spacing w:line="276" w:lineRule="auto"/>
        <w:jc w:val="both"/>
      </w:pPr>
      <w:r>
        <w:t xml:space="preserve">Tato cílová skupina spolupracuje v rámci místního akčního plánování již od počátku MAP I. Oslovování ze strany žadatele, resp. realizačního týmu, probíhá formou osobních jednání (individuální, hromadné porady ředitelů, hromadná setkání zřizovatelů, jednání ŘV, </w:t>
      </w:r>
      <w:r w:rsidR="0039301D">
        <w:t>PS...</w:t>
      </w:r>
      <w:r>
        <w:t xml:space="preserve">), telefonicky a emailovou komunikací. Zástupci zřizovatelů působí také jako členové v orgánech žadatele (MAS </w:t>
      </w:r>
      <w:r w:rsidR="0039301D">
        <w:t>Jablunkovsko – výbor</w:t>
      </w:r>
      <w:r>
        <w:t>, komise). Do realizace projektu je zapojeno 20 školských organizací dle RED IZO (resp. 31 dle IZO) a 11 zřizovatelů (10 obcí + 1 Moravskoslezský kraj). Zapojily se také 2 obce, které školu nezřizují, ale jejíchž děti a žáci navštěvují školy v jiné obci ORP Jablunkov.</w:t>
      </w:r>
    </w:p>
    <w:p w14:paraId="482633B9" w14:textId="77777777" w:rsidR="00575807" w:rsidRDefault="00575807" w:rsidP="0078393F">
      <w:pPr>
        <w:spacing w:line="276" w:lineRule="auto"/>
        <w:jc w:val="both"/>
      </w:pPr>
      <w:r>
        <w:t>Motivace k zapojení:</w:t>
      </w:r>
    </w:p>
    <w:p w14:paraId="7C9B0F2E" w14:textId="6C0AEC4B" w:rsidR="00575807" w:rsidRDefault="00575807" w:rsidP="0078393F">
      <w:pPr>
        <w:pStyle w:val="Odstavecseseznamem"/>
        <w:numPr>
          <w:ilvl w:val="1"/>
          <w:numId w:val="27"/>
        </w:numPr>
        <w:spacing w:line="276" w:lineRule="auto"/>
        <w:ind w:left="567"/>
        <w:jc w:val="both"/>
      </w:pPr>
      <w:r>
        <w:t>možnost rozvoje spolupráce zřizovatelů v území,</w:t>
      </w:r>
    </w:p>
    <w:p w14:paraId="63A242C8" w14:textId="030636E8" w:rsidR="00575807" w:rsidRDefault="00575807" w:rsidP="0078393F">
      <w:pPr>
        <w:pStyle w:val="Odstavecseseznamem"/>
        <w:numPr>
          <w:ilvl w:val="1"/>
          <w:numId w:val="27"/>
        </w:numPr>
        <w:spacing w:line="276" w:lineRule="auto"/>
        <w:ind w:left="567"/>
        <w:jc w:val="both"/>
      </w:pPr>
      <w:r>
        <w:t>prohloubení spolupráce mezi zřizovateli a školskými zařízeními, společné definování vize rozvoje škol,</w:t>
      </w:r>
    </w:p>
    <w:p w14:paraId="62E8E239" w14:textId="481276AB" w:rsidR="00575807" w:rsidRDefault="00575807" w:rsidP="0078393F">
      <w:pPr>
        <w:pStyle w:val="Odstavecseseznamem"/>
        <w:numPr>
          <w:ilvl w:val="1"/>
          <w:numId w:val="27"/>
        </w:numPr>
        <w:spacing w:line="276" w:lineRule="auto"/>
        <w:ind w:left="567"/>
        <w:jc w:val="both"/>
      </w:pPr>
      <w:r>
        <w:t>příležitosti pro výměnu zkušeností, možnost vytváření společných postupů a metodik pro řízení škol,</w:t>
      </w:r>
    </w:p>
    <w:p w14:paraId="1E4C8BC5" w14:textId="504A6E58" w:rsidR="00BB6BBA" w:rsidRPr="00575807" w:rsidRDefault="00575807" w:rsidP="00DB4990">
      <w:pPr>
        <w:pStyle w:val="Odstavecseseznamem"/>
        <w:numPr>
          <w:ilvl w:val="1"/>
          <w:numId w:val="27"/>
        </w:numPr>
        <w:spacing w:line="276" w:lineRule="auto"/>
        <w:ind w:left="567"/>
        <w:jc w:val="both"/>
      </w:pPr>
      <w:r>
        <w:t>zavádění jednotné koncepce vzdělávací politiky</w:t>
      </w:r>
    </w:p>
    <w:p w14:paraId="6222A30A" w14:textId="530F27B1" w:rsidR="00575807" w:rsidRDefault="00575807" w:rsidP="0078393F">
      <w:pPr>
        <w:pStyle w:val="Nadpis3"/>
        <w:spacing w:line="276" w:lineRule="auto"/>
        <w:jc w:val="both"/>
        <w:rPr>
          <w:b/>
          <w:color w:val="538135" w:themeColor="accent6" w:themeShade="BF"/>
        </w:rPr>
      </w:pPr>
      <w:r>
        <w:rPr>
          <w:b/>
          <w:color w:val="538135" w:themeColor="accent6" w:themeShade="BF"/>
        </w:rPr>
        <w:t>Děti, žáci, ZŠ</w:t>
      </w:r>
    </w:p>
    <w:p w14:paraId="04E7AAF6" w14:textId="437ED8E7" w:rsidR="00BB6BBA" w:rsidRDefault="00BB6BBA" w:rsidP="0078393F">
      <w:pPr>
        <w:spacing w:line="276" w:lineRule="auto"/>
        <w:jc w:val="both"/>
      </w:pPr>
      <w:r>
        <w:t xml:space="preserve">Cílem MAP je podpora rozvoje potenciálu osobnosti každého dítěte a žáka ve věku do 15 let. Žák/dítě je konečným příjemcem opatření realizovaných v důsledku MAP, které přispějí ke zlepšení výsledků dětí/žáků a zároveň ke snižování nerovností mezi nimi. V rámci plánovaných aktivit MAP je věnována </w:t>
      </w:r>
      <w:r>
        <w:lastRenderedPageBreak/>
        <w:t>pozornost včasné péči a přípravě, předškolnímu vzdělávání dětí od tří let tak, aby byly připraveny na vstup do běžné MŠ a následně na přechod do ZŠ, zejména u dětí ohrožených sociálním znevýhodněním. Důraz je rovněž kladen na podporu dětí a žáků ohrožených školním neúspěchem. Tito žáci mohou mít například prospěchové nebo kázeňské problémy, či se jim nedostává dostatečné péče k rozvoji potencionálního nadání, které mohou vyústit právě v předčasný odchod ze systému vzdělávání. Dětem v MŠ ani žákům v ZŠ se vždy nedostává dostatečné podpory ze strany rodiny, pak musí nastoupit škola, aby žáky dobře znalostně připravila a motivovala je pro jejich další úspěšný život.</w:t>
      </w:r>
    </w:p>
    <w:p w14:paraId="46966367" w14:textId="77777777" w:rsidR="00BB6BBA" w:rsidRDefault="00BB6BBA" w:rsidP="0078393F">
      <w:pPr>
        <w:spacing w:line="276" w:lineRule="auto"/>
        <w:jc w:val="both"/>
      </w:pPr>
      <w:r>
        <w:t>Data o této cílové skupině získáváme převážně skrze jejich rodiče, pedagogy a pracovníky organizací zájmového a neformální vzdělávání, kteří mohou tvůrcům MAP poskytnout informace týkající se potřeb a specifik dnešních dětí. V projektu MAP IV budou děti a žáci konkrétně podpořeni v rámci aktivit implementace, a to v oblasti inkluze, polytechniky a digitalizace, podnikavosti a kreativity, gramotností a občanských kompetencí buď přímou účastí nebo prostřednictvím učitelů, kteří si budou zlepšovat své vzdělavatelské kompetence a schopnosti rozpoznávat individuální potřeby dětí a žáků.</w:t>
      </w:r>
    </w:p>
    <w:p w14:paraId="16B374B0" w14:textId="5368EB81" w:rsidR="00BB6BBA" w:rsidRDefault="00BB6BBA" w:rsidP="0078393F">
      <w:pPr>
        <w:spacing w:line="276" w:lineRule="auto"/>
        <w:jc w:val="both"/>
      </w:pPr>
      <w:r>
        <w:t>V území ORP se aktuálně vzdělává 882 dětí v předškolním vzdělávání, z toho v běžných třídách 873 dětí a 9 dětí ve speciálních třídách. V MŠ je diagnostikováno 16 dětí se SVP. Neustále roste počet dětí mladších 3 let v předškolním vzdělávání. V základním vzdělávání je to 2.066, z toho v běžných třídách 2.023 žáků, ve speciálních třídách 43 žáků. V ZŠ je diagnostikováno celkem 122 dětí se SVP.</w:t>
      </w:r>
    </w:p>
    <w:p w14:paraId="7198F572" w14:textId="63A593C4" w:rsidR="00575807" w:rsidRDefault="00575807" w:rsidP="0078393F">
      <w:pPr>
        <w:pStyle w:val="Nadpis3"/>
        <w:spacing w:line="276" w:lineRule="auto"/>
        <w:jc w:val="both"/>
        <w:rPr>
          <w:b/>
          <w:color w:val="538135" w:themeColor="accent6" w:themeShade="BF"/>
        </w:rPr>
      </w:pPr>
      <w:r>
        <w:rPr>
          <w:b/>
          <w:color w:val="538135" w:themeColor="accent6" w:themeShade="BF"/>
        </w:rPr>
        <w:t>Pracovníci veřejné správy a subjektů zřízených veřejnou správou</w:t>
      </w:r>
    </w:p>
    <w:p w14:paraId="2B57AD51" w14:textId="4FC4C140" w:rsidR="00BB6BBA" w:rsidRDefault="00BB6BBA" w:rsidP="0078393F">
      <w:pPr>
        <w:spacing w:line="276" w:lineRule="auto"/>
        <w:jc w:val="both"/>
      </w:pPr>
      <w:r>
        <w:t xml:space="preserve">Do procesu tvorby MAP byli rovněž přizváni zástupci veřejné zprávy, kteří působí ve vzdělávací politice. Zaměstnanci obcí vykonávající správu školství v přenesené a samostatné působnosti, zřizovatelé škol (obce), zástupci obcí, kteří nejsou zřizovateli, Odbor školství a kultury MěÚ Jablunkov, Odbor sociálních věcí a zdravotnictví, </w:t>
      </w:r>
      <w:r w:rsidR="00A941F4">
        <w:t>SPOD – Sociálně</w:t>
      </w:r>
      <w:r>
        <w:t>-právní ochrana dětí, Městská policie, Sbor dobrovolných hasičů SDH Jablunkov, Odbor životního prostředí a zemědělství, investiční a rozvojová oddělení obcí. Zapojení jsou také zástupci vedení jednotlivých obcí a zastupitelstev.</w:t>
      </w:r>
    </w:p>
    <w:p w14:paraId="7DECC483" w14:textId="77777777" w:rsidR="00BB6BBA" w:rsidRDefault="00BB6BBA" w:rsidP="0078393F">
      <w:pPr>
        <w:spacing w:line="276" w:lineRule="auto"/>
        <w:jc w:val="both"/>
      </w:pPr>
      <w:r>
        <w:t>Zaměstnanci veřejné správy jsou do procesu tvorby MAP zapojeni prostřednictvím účasti v Řídícím výboru. Aktivně tak mohou ovlivňovat a zasahovat do procesu celé tvorby MAP. Přizváni jsou také k aktivitám spojených s rozvojem partnerství v území (společné setkání a vzdělávání). Tato cílová skupina podporuje spolupráci a vzájemnou výměnu zkušeností. Přímé působení mají na udržování a obnovu majetku škol a školských zařízení. Veřejná správa potřebuje řešit stabilizaci obyvatelstva, kterých v území dlouhodobě ubývá a kvalitní vzdělávání je hlavním krokem k dosažení tohoto cíle. Rodiče budou s dětmi žít tam, kde budou mít záruku kvalitního vzdělávání.</w:t>
      </w:r>
    </w:p>
    <w:p w14:paraId="32388484" w14:textId="77777777" w:rsidR="00BB6BBA" w:rsidRDefault="00BB6BBA" w:rsidP="0078393F">
      <w:pPr>
        <w:spacing w:line="276" w:lineRule="auto"/>
      </w:pPr>
      <w:r>
        <w:t>Motivace k zapojení:</w:t>
      </w:r>
    </w:p>
    <w:p w14:paraId="3D408C5A" w14:textId="3A3A8702" w:rsidR="00BB6BBA" w:rsidRDefault="00BB6BBA" w:rsidP="0078393F">
      <w:pPr>
        <w:pStyle w:val="Odstavecseseznamem"/>
        <w:numPr>
          <w:ilvl w:val="1"/>
          <w:numId w:val="27"/>
        </w:numPr>
        <w:spacing w:line="276" w:lineRule="auto"/>
        <w:ind w:left="567"/>
      </w:pPr>
      <w:r>
        <w:t>možnost rozvoje spolupráce zřizovatelů na území MAP,</w:t>
      </w:r>
    </w:p>
    <w:p w14:paraId="70552EB6" w14:textId="44DA8BED" w:rsidR="00BB6BBA" w:rsidRDefault="00BB6BBA" w:rsidP="0078393F">
      <w:pPr>
        <w:pStyle w:val="Odstavecseseznamem"/>
        <w:numPr>
          <w:ilvl w:val="1"/>
          <w:numId w:val="27"/>
        </w:numPr>
        <w:spacing w:line="276" w:lineRule="auto"/>
        <w:ind w:left="567"/>
      </w:pPr>
      <w:r>
        <w:t>prohloubení spolupráce mezi zřizovateli a školskými zařízeními, společné definování vize rozvoje škol,</w:t>
      </w:r>
    </w:p>
    <w:p w14:paraId="0EEDEA0A" w14:textId="7EA7FDB7" w:rsidR="00BB6BBA" w:rsidRDefault="00BB6BBA" w:rsidP="0078393F">
      <w:pPr>
        <w:pStyle w:val="Odstavecseseznamem"/>
        <w:numPr>
          <w:ilvl w:val="1"/>
          <w:numId w:val="27"/>
        </w:numPr>
        <w:spacing w:line="276" w:lineRule="auto"/>
        <w:ind w:left="567"/>
      </w:pPr>
      <w:r>
        <w:t>příležitosti pro výměnu zkušeností, možnost vytváření společných postupů a metodik pro řízení škol,</w:t>
      </w:r>
    </w:p>
    <w:p w14:paraId="58384717" w14:textId="055BD1D5" w:rsidR="00BB6BBA" w:rsidRDefault="00BB6BBA" w:rsidP="0078393F">
      <w:pPr>
        <w:pStyle w:val="Odstavecseseznamem"/>
        <w:numPr>
          <w:ilvl w:val="1"/>
          <w:numId w:val="27"/>
        </w:numPr>
        <w:spacing w:line="276" w:lineRule="auto"/>
        <w:ind w:left="567"/>
      </w:pPr>
      <w:r>
        <w:t>zavádění jednotné koncepce vzdělávací politiky ve vztahu k začleňování znevýhodněných dětí, potažmo k inkluzivnímu modelu vzdělávání</w:t>
      </w:r>
    </w:p>
    <w:p w14:paraId="020C25CF" w14:textId="79A2FBDE" w:rsidR="00BB6BBA" w:rsidRDefault="00BB6BBA" w:rsidP="0078393F">
      <w:pPr>
        <w:pStyle w:val="Odstavecseseznamem"/>
        <w:numPr>
          <w:ilvl w:val="1"/>
          <w:numId w:val="27"/>
        </w:numPr>
        <w:spacing w:line="276" w:lineRule="auto"/>
        <w:ind w:left="567"/>
      </w:pPr>
      <w:r>
        <w:t>možnost využití dat a informací z MAP pro střednědobé plánování v oblasti vzdělávání (např. financování škol),</w:t>
      </w:r>
    </w:p>
    <w:p w14:paraId="2713319F" w14:textId="1F31275E" w:rsidR="00BB6BBA" w:rsidRDefault="00BB6BBA" w:rsidP="0078393F">
      <w:pPr>
        <w:pStyle w:val="Odstavecseseznamem"/>
        <w:numPr>
          <w:ilvl w:val="1"/>
          <w:numId w:val="27"/>
        </w:numPr>
        <w:spacing w:line="276" w:lineRule="auto"/>
        <w:ind w:left="567"/>
      </w:pPr>
      <w:r>
        <w:lastRenderedPageBreak/>
        <w:t>řízení a hodnocení kvality vzdělávání v řešeném území,</w:t>
      </w:r>
    </w:p>
    <w:p w14:paraId="75A37D33" w14:textId="4F64A00C" w:rsidR="00BB6BBA" w:rsidRPr="00BB6BBA" w:rsidRDefault="00BB6BBA" w:rsidP="00A941F4">
      <w:pPr>
        <w:pStyle w:val="Odstavecseseznamem"/>
        <w:numPr>
          <w:ilvl w:val="1"/>
          <w:numId w:val="27"/>
        </w:numPr>
        <w:spacing w:line="276" w:lineRule="auto"/>
        <w:ind w:left="567"/>
      </w:pPr>
      <w:r>
        <w:t>systémové zlepšení řízení MŠ a ZŠ prostřednictvím dlouhodobého plánování jako nástroje ke kvalitnímu řízení škol.</w:t>
      </w:r>
    </w:p>
    <w:p w14:paraId="5B8C771F" w14:textId="4771BE29" w:rsidR="00575807" w:rsidRDefault="00575807" w:rsidP="0078393F">
      <w:pPr>
        <w:pStyle w:val="Nadpis3"/>
        <w:spacing w:line="276" w:lineRule="auto"/>
        <w:jc w:val="both"/>
        <w:rPr>
          <w:b/>
          <w:color w:val="538135" w:themeColor="accent6" w:themeShade="BF"/>
        </w:rPr>
      </w:pPr>
      <w:r>
        <w:rPr>
          <w:b/>
          <w:color w:val="538135" w:themeColor="accent6" w:themeShade="BF"/>
        </w:rPr>
        <w:t>Pedagogičtí a nepedagogičtí pracovníci</w:t>
      </w:r>
    </w:p>
    <w:p w14:paraId="5DD9EDDE" w14:textId="1AEF9C7E" w:rsidR="00BB6BBA" w:rsidRDefault="00BB6BBA" w:rsidP="00A06318">
      <w:pPr>
        <w:spacing w:line="276" w:lineRule="auto"/>
        <w:jc w:val="both"/>
      </w:pPr>
      <w:r>
        <w:t xml:space="preserve">Jedná se o jednu ze stěžejních cílových skupin projektu, která se přímo podílí na kvalitě vzdělávání v území, působí na děti a žáky, komunikuje s jejich rodiči. Tuto cílovou skupinu tvoří pedagogové ZŠ, MŠ, ZUŠ, vychovatelé školních družin, asistenti pedagogů a nepedagogičtí pracovníci. V rámci přípravné fáze žádosti o podporu, v návaznosti na předchozí MAPY, byli osloveni zřizovatelé a ředitelé ZŠ/MŠ/ZUŠ na území ORP Jablunkov. Všech 31 subjektů dle IZO souhlasilo se zapojením do realizace Místního akčního plánu pro ORP Jablunkov IV. V další fázi budou osloveni s návrhem začlenění se do Řídícího výboru, nebo do některé z pracovních skupin. Pedagogové a nepedagogové škol budou podpořeni </w:t>
      </w:r>
      <w:r>
        <w:br/>
        <w:t xml:space="preserve">v rámci implementačních aktivit (workshopy, kulaté stoly, semináře, besedy, konference, setkání </w:t>
      </w:r>
      <w:r>
        <w:br/>
        <w:t xml:space="preserve">k výměně </w:t>
      </w:r>
      <w:r w:rsidR="00A06318">
        <w:t>zkušeností...</w:t>
      </w:r>
      <w:r>
        <w:t>). Budou rovněž zapojeni do procesu tvorby a schvalování strategie MAP.</w:t>
      </w:r>
    </w:p>
    <w:p w14:paraId="0C87371E" w14:textId="77777777" w:rsidR="00BB6BBA" w:rsidRDefault="00BB6BBA" w:rsidP="0078393F">
      <w:pPr>
        <w:spacing w:line="276" w:lineRule="auto"/>
      </w:pPr>
      <w:r>
        <w:t>U pracovníků škol očekáváme následující změny dosažené realizací projektu:</w:t>
      </w:r>
    </w:p>
    <w:p w14:paraId="3A5A28BB" w14:textId="283D0CA3" w:rsidR="00BB6BBA" w:rsidRDefault="00BB6BBA" w:rsidP="0078393F">
      <w:pPr>
        <w:pStyle w:val="Odstavecseseznamem"/>
        <w:numPr>
          <w:ilvl w:val="1"/>
          <w:numId w:val="27"/>
        </w:numPr>
        <w:spacing w:line="276" w:lineRule="auto"/>
        <w:ind w:left="567"/>
        <w:jc w:val="both"/>
      </w:pPr>
      <w:r>
        <w:t>příležitosti pro setkávání, k vzájemným konzultacím, výměně zkušeností a spolupráci,</w:t>
      </w:r>
    </w:p>
    <w:p w14:paraId="2FD95591" w14:textId="5B5FBC35" w:rsidR="00BB6BBA" w:rsidRDefault="00BB6BBA" w:rsidP="0078393F">
      <w:pPr>
        <w:pStyle w:val="Odstavecseseznamem"/>
        <w:numPr>
          <w:ilvl w:val="1"/>
          <w:numId w:val="27"/>
        </w:numPr>
        <w:spacing w:line="276" w:lineRule="auto"/>
        <w:ind w:left="567"/>
        <w:jc w:val="both"/>
      </w:pPr>
      <w:r>
        <w:t>rozvoj spolupráce s rodiči a zapojení rodičů do života školy, podpora škol rodiči,</w:t>
      </w:r>
    </w:p>
    <w:p w14:paraId="3FB46807" w14:textId="0894F005" w:rsidR="00BB6BBA" w:rsidRDefault="00BB6BBA" w:rsidP="0078393F">
      <w:pPr>
        <w:pStyle w:val="Odstavecseseznamem"/>
        <w:numPr>
          <w:ilvl w:val="1"/>
          <w:numId w:val="27"/>
        </w:numPr>
        <w:spacing w:line="276" w:lineRule="auto"/>
        <w:ind w:left="567"/>
        <w:jc w:val="both"/>
      </w:pPr>
      <w:r>
        <w:t xml:space="preserve">možnou místní a komunikativní podporu při organizaci spolupráce s kolegy v místě a při péči </w:t>
      </w:r>
      <w:r>
        <w:br/>
        <w:t>o osobní prostor nebo při řešení místních problémů.</w:t>
      </w:r>
    </w:p>
    <w:p w14:paraId="38C151DB" w14:textId="2D67BAAB" w:rsidR="00BB6BBA" w:rsidRPr="00A06318" w:rsidRDefault="00BB6BBA" w:rsidP="00A06318">
      <w:pPr>
        <w:spacing w:line="276" w:lineRule="auto"/>
        <w:jc w:val="both"/>
      </w:pPr>
      <w:r>
        <w:t>Tato spolupráce povede k systémovému zlepšení řízení MŠ/ZŠ/ZUŠ prostřednictvím začleňování dlouhodobého plánování jako nástroje ke kvalitnímu řízení škol, sdílenému porozumění cíle orientace na kvalitní a inkluzivní vzdělávání, podpoře škol se slabšími výsledky a rozvoji potenciálu každého dítěte/žáka, dostupnosti kvalitního vzdělávání každého dítěte/žáka v inkluzivní škole, zlepšení spolupráce v území a využívání místních mimoškolních zdrojů pro rozvoj vzdělávání dětí a žáků a vybudování udržitelného systému komunikace mezi aktéry ovlivňují.</w:t>
      </w:r>
    </w:p>
    <w:p w14:paraId="1FD9DF9D" w14:textId="463432C5" w:rsidR="00575807" w:rsidRDefault="00575807" w:rsidP="0078393F">
      <w:pPr>
        <w:pStyle w:val="Nadpis3"/>
        <w:spacing w:line="276" w:lineRule="auto"/>
        <w:jc w:val="both"/>
        <w:rPr>
          <w:b/>
          <w:color w:val="538135" w:themeColor="accent6" w:themeShade="BF"/>
        </w:rPr>
      </w:pPr>
      <w:r>
        <w:rPr>
          <w:b/>
          <w:color w:val="538135" w:themeColor="accent6" w:themeShade="BF"/>
        </w:rPr>
        <w:t>Široká veřejnost</w:t>
      </w:r>
    </w:p>
    <w:p w14:paraId="5B926DD6" w14:textId="47BEAFA3" w:rsidR="00BB6BBA" w:rsidRDefault="00BB6BBA" w:rsidP="0078393F">
      <w:pPr>
        <w:spacing w:line="276" w:lineRule="auto"/>
        <w:jc w:val="both"/>
      </w:pPr>
      <w:r>
        <w:t xml:space="preserve">Cílová skupina veřejnost je zastoupena v rámci 12 obcí </w:t>
      </w:r>
      <w:r w:rsidR="00921C67">
        <w:t>ORP – Bocanovice</w:t>
      </w:r>
      <w:r>
        <w:t xml:space="preserve">, Bukovec, Dolní Lomná, Horní Lomná, Hrádek, Hrčava, Jablunkov, Milíkov, Mosty u Jablunkova, Návsí, Písečná, Písek. Celkem se jedná téměř o 22 tis. obyvatel. Veřejnost potřebuje získávat adekvátní a reálné informace o podmínkách společného vzdělávání, aby opustila selektivní přístup a vnímala společné vzdělávání jako běžnou potřebu každého jedince. Při vytváření koncepce vzdělávání je potřeba vést dialog také s ostatní veřejností, které se na první pohled nemusí předškolní a základní vzdělávání přímo dotýkat, nicméně pro ucelené a komplexní podklady k tvorbě MAP je potřeba i tyto subjekty oslovit a diskutovat s nimi. Jedná se např. o významné zaměstnavatelé v regionu, kteří vytvářejí místní trh práce a určují požadavky na kompetence svých zaměstnanců. Dále jsou to školy ve vyšším stupni vzdělávání, tj. střední, vyšší odborné a vysoké školy, které dokáží posoudit připravenost žáků opouštějících základní vzdělávání </w:t>
      </w:r>
      <w:r>
        <w:br/>
        <w:t>a úroveň dosažených kompetencí. Poskytnout tedy zpětnou vazbu základním školám, určité srovnání. Tito aktéři byli v rámci tvorby MAP ORP Jablunkov zapojení a poskytovali svůj pohled na téma regionálního vzdělávání.</w:t>
      </w:r>
    </w:p>
    <w:p w14:paraId="1B8C9D4F" w14:textId="77777777" w:rsidR="00BB6BBA" w:rsidRDefault="00BB6BBA" w:rsidP="0078393F">
      <w:pPr>
        <w:spacing w:line="276" w:lineRule="auto"/>
        <w:jc w:val="both"/>
      </w:pPr>
    </w:p>
    <w:p w14:paraId="7629FB13" w14:textId="45162DAD" w:rsidR="00BB6BBA" w:rsidRPr="00BB6BBA" w:rsidRDefault="00BB6BBA" w:rsidP="0078393F">
      <w:pPr>
        <w:spacing w:line="276" w:lineRule="auto"/>
        <w:jc w:val="both"/>
      </w:pPr>
      <w:r>
        <w:lastRenderedPageBreak/>
        <w:t>V rámci aktivity 3.2 bude zpracován</w:t>
      </w:r>
      <w:r w:rsidR="00BA2F69">
        <w:t xml:space="preserve"> </w:t>
      </w:r>
      <w:r>
        <w:t xml:space="preserve">komunikační plán a realizován konzultační proces jako jeho součást. Cílem je zajistit informovanost všech aktérů a široké veřejnosti o jednotlivých dílčích výstupech společného plánování a zpracovaném SR MAP, o přípravě a finální podobě jednotlivých akčních plánů a o realizaci konkrétních aktivit, samozřejmě také sběr námětů a připomínek. MAP pro ORP Jablunkov má webové stránky i facebookový profil, informace budou zveřejňovány v místních médiích, uskuteční se informativní setkání ke kvalitě vzdělávání s místními podniky, zastupiteli </w:t>
      </w:r>
      <w:r>
        <w:br/>
        <w:t>a dalšími aktéry. Sociální média budou využita pro propojení daného MAP s rodiči, školami, s ostatními MAP a s dalšími subjekty.</w:t>
      </w:r>
    </w:p>
    <w:p w14:paraId="56C7EB25" w14:textId="58724096" w:rsidR="00575807" w:rsidRDefault="00575807" w:rsidP="0078393F">
      <w:pPr>
        <w:pStyle w:val="Nadpis3"/>
        <w:spacing w:line="276" w:lineRule="auto"/>
        <w:jc w:val="both"/>
        <w:rPr>
          <w:b/>
          <w:color w:val="538135" w:themeColor="accent6" w:themeShade="BF"/>
        </w:rPr>
      </w:pPr>
      <w:r>
        <w:rPr>
          <w:b/>
          <w:color w:val="538135" w:themeColor="accent6" w:themeShade="BF"/>
        </w:rPr>
        <w:t>Pracovníci školských poradenských zařízení</w:t>
      </w:r>
    </w:p>
    <w:p w14:paraId="1FD343E8" w14:textId="2D6AE717" w:rsidR="00BB6BBA" w:rsidRDefault="00BB6BBA" w:rsidP="0078393F">
      <w:pPr>
        <w:spacing w:line="276" w:lineRule="auto"/>
        <w:jc w:val="both"/>
      </w:pPr>
      <w:r>
        <w:t>Školská poradenská zařízení poskytují poradenské služby dětem, žákům, jejich zákonným zástupcům, školám a školským zařízením. Mezi školská poradenská zařízení patří</w:t>
      </w:r>
      <w:r w:rsidR="00672DAD">
        <w:t xml:space="preserve"> </w:t>
      </w:r>
      <w:r>
        <w:t>Pedagogicko-psychologická poradna, Speciálně pedagogické centrum a Středisko výchovné péče. Spolupráce těchto zařízení se školami je nezbytná a mimořádně důležitá a v důsledku nárůstu počtu dětí a žáků ohrožených školním neúspěchem získává stále více na významu. ŠPP pomáhají vytvářet pozitivní klima školy, poskytují poradenské a konzultační služby v péči o dětí a žáky s potřebou podpůrných opatření, podílejí se na prevenci školní neúspěšnosti a prevenci rizikových forem chování, nabízejí kariérové poradenství k volbě povolání (výběru SŠ), napomáhají řešit výukové a výchovné obtíže, intervenují při aktuálních problémech, poskytují vztahové a osobní poradenství, pracují s třídními kolektivy, podporuji spolupráci s rodinou.</w:t>
      </w:r>
    </w:p>
    <w:p w14:paraId="25516EF1" w14:textId="4B62C129" w:rsidR="003A7A0D" w:rsidRDefault="00BB6BBA" w:rsidP="0078393F">
      <w:pPr>
        <w:spacing w:line="276" w:lineRule="auto"/>
        <w:jc w:val="both"/>
      </w:pPr>
      <w:r>
        <w:t xml:space="preserve">Zástupci těchto organizací budou osloveni s nabídkou účasti v řídícím výboru MAP a v pracovních skupinách, zejména v PS pro rovné příležitosti. Tato pracovní skupina bude stěžejní v komunikaci </w:t>
      </w:r>
      <w:r w:rsidR="006E50AE">
        <w:br/>
      </w:r>
      <w:r>
        <w:t>a spolupráci s ŠPP. Našim cílem bude zapojovat ŠPP také do implementačních aktivit, ať už do společného vzdělávání, tak zejména do neformálních a metodických setkání určených k výměně informací. Dalším společným prvkem ŠPP a škol je realizace projektů zjednodušeného vykazování, tzv. šablon, kdy řada menších škol získala prostřednictvím PPP odbornou pozici školního psychologa či speciálního pedagoga. Cílem MAP je rovněž vyhodnocování těchto individuálních projektů škol, a proto bude iniciovat společné diskuse k jejich přínosům a dopadům. V rámci MŠMT je připravována řada legislativních úprav, která budou mít dopad právě na inkluzivní vzdělávání ve školách (např. řešení pozic asistentů pedagogů) a dotýkají se jak škol, tak ŠPP. I zde bude na místě intenzivnější spolupráce a výměna informací, zkušeností.</w:t>
      </w:r>
    </w:p>
    <w:p w14:paraId="49EA8B5F" w14:textId="3AEFDD9A" w:rsidR="009567CB" w:rsidRPr="007625EB" w:rsidRDefault="009567CB" w:rsidP="0078393F">
      <w:pPr>
        <w:pStyle w:val="Nadpis1"/>
        <w:spacing w:line="276" w:lineRule="auto"/>
        <w:jc w:val="both"/>
        <w:rPr>
          <w:b/>
          <w:color w:val="538135" w:themeColor="accent6" w:themeShade="BF"/>
        </w:rPr>
      </w:pPr>
      <w:r w:rsidRPr="00216ECA">
        <w:rPr>
          <w:b/>
          <w:color w:val="538135" w:themeColor="accent6" w:themeShade="BF"/>
        </w:rPr>
        <w:t>Nástroje komunikace</w:t>
      </w:r>
    </w:p>
    <w:p w14:paraId="17CF1E30" w14:textId="6E918FEA" w:rsidR="005829DE" w:rsidRDefault="00FD291F" w:rsidP="0078393F">
      <w:pPr>
        <w:spacing w:line="276" w:lineRule="auto"/>
        <w:jc w:val="both"/>
      </w:pPr>
      <w:r>
        <w:t>Cílem je zajistit informovanost všech aktérů a široké veřejnosti o jednotlivých dílčích výstupech společného plánování, zpracovaném SR MAP, o přípravě a finální podobě jednotlivých akčních plánů</w:t>
      </w:r>
      <w:r w:rsidR="00151C8A">
        <w:br/>
      </w:r>
      <w:r>
        <w:t xml:space="preserve">a o realizaci konkrétních aktivit, samozřejmě také sběr námětů a připomínek. Informace o MAP, jeho aktivitách a výstupech budou poskytovány masivně široké veřejnosti především žadatelem městem Jablunkov. K informační kampani budou využity nejrůznější nástroje komunikačního plánu MAP </w:t>
      </w:r>
      <w:r w:rsidR="009E6C41">
        <w:t>IV</w:t>
      </w:r>
      <w:r>
        <w:t>:</w:t>
      </w:r>
    </w:p>
    <w:p w14:paraId="26247DEC" w14:textId="7EBA8022" w:rsidR="000E4274" w:rsidRDefault="000E4274" w:rsidP="0078393F">
      <w:pPr>
        <w:pStyle w:val="Odstavecseseznamem"/>
        <w:numPr>
          <w:ilvl w:val="0"/>
          <w:numId w:val="36"/>
        </w:numPr>
        <w:spacing w:line="276" w:lineRule="auto"/>
        <w:jc w:val="both"/>
      </w:pPr>
      <w:r>
        <w:t>Sociální média – Facebookový a Instagramový profil MAP rozvoje vzdělávání v ORP Jablunkov a vlastní</w:t>
      </w:r>
      <w:r w:rsidR="00B5552F">
        <w:t xml:space="preserve"> </w:t>
      </w:r>
      <w:r>
        <w:t>webové stránky projektu.</w:t>
      </w:r>
    </w:p>
    <w:p w14:paraId="49AEB9DA" w14:textId="44F592BF" w:rsidR="000E4274" w:rsidRDefault="000E4274" w:rsidP="0078393F">
      <w:pPr>
        <w:pStyle w:val="Odstavecseseznamem"/>
        <w:numPr>
          <w:ilvl w:val="0"/>
          <w:numId w:val="36"/>
        </w:numPr>
        <w:spacing w:line="276" w:lineRule="auto"/>
        <w:jc w:val="both"/>
      </w:pPr>
      <w:r>
        <w:t>Informativní setkání ke kvalitě vzdělávání s relevantními aktéry, zastupiteli a dalšími aktéry.</w:t>
      </w:r>
    </w:p>
    <w:p w14:paraId="4F1CABF2" w14:textId="31F48D11" w:rsidR="000E4274" w:rsidRDefault="000E4274" w:rsidP="0078393F">
      <w:pPr>
        <w:pStyle w:val="Odstavecseseznamem"/>
        <w:numPr>
          <w:ilvl w:val="0"/>
          <w:numId w:val="36"/>
        </w:numPr>
        <w:spacing w:line="276" w:lineRule="auto"/>
        <w:jc w:val="both"/>
      </w:pPr>
      <w:r>
        <w:t>Veřejné projednávání: kulaté stoly, workshopy</w:t>
      </w:r>
      <w:r w:rsidR="009B2287">
        <w:t>, setkání</w:t>
      </w:r>
      <w:r>
        <w:t xml:space="preserve"> apod.;</w:t>
      </w:r>
    </w:p>
    <w:p w14:paraId="26BC7F7F" w14:textId="1BEDE415" w:rsidR="000E4274" w:rsidRDefault="000E4274" w:rsidP="00B042D9">
      <w:pPr>
        <w:pStyle w:val="Odstavecseseznamem"/>
        <w:numPr>
          <w:ilvl w:val="0"/>
          <w:numId w:val="36"/>
        </w:numPr>
        <w:spacing w:line="276" w:lineRule="auto"/>
        <w:jc w:val="both"/>
      </w:pPr>
      <w:r>
        <w:lastRenderedPageBreak/>
        <w:t>Tiskové zprávy na webových stránkách města Jablunkov, také ostatních obcí i</w:t>
      </w:r>
      <w:r w:rsidR="00B042D9">
        <w:t xml:space="preserve"> </w:t>
      </w:r>
      <w:r>
        <w:t>zapojených škol</w:t>
      </w:r>
      <w:r w:rsidR="00F93E51">
        <w:t xml:space="preserve"> </w:t>
      </w:r>
      <w:r w:rsidR="00F93E51">
        <w:t>v ORP</w:t>
      </w:r>
    </w:p>
    <w:p w14:paraId="2873FFA8" w14:textId="3D815A45" w:rsidR="000E4274" w:rsidRDefault="000E4274" w:rsidP="0078393F">
      <w:pPr>
        <w:pStyle w:val="Odstavecseseznamem"/>
        <w:numPr>
          <w:ilvl w:val="0"/>
          <w:numId w:val="36"/>
        </w:numPr>
        <w:spacing w:line="276" w:lineRule="auto"/>
        <w:jc w:val="both"/>
      </w:pPr>
      <w:r>
        <w:t xml:space="preserve">Články v regionálním tisku, regionální televizi a internetových </w:t>
      </w:r>
      <w:r w:rsidR="006B79F6">
        <w:t>stránkách</w:t>
      </w:r>
      <w:r>
        <w:t>.</w:t>
      </w:r>
    </w:p>
    <w:p w14:paraId="0523A5AE" w14:textId="7DDBACFB" w:rsidR="000E4274" w:rsidRDefault="000E4274" w:rsidP="0078393F">
      <w:pPr>
        <w:pStyle w:val="Odstavecseseznamem"/>
        <w:numPr>
          <w:ilvl w:val="0"/>
          <w:numId w:val="36"/>
        </w:numPr>
        <w:spacing w:line="276" w:lineRule="auto"/>
        <w:jc w:val="both"/>
      </w:pPr>
      <w:r>
        <w:t>Vlastní informační zpravodaj.</w:t>
      </w:r>
    </w:p>
    <w:p w14:paraId="4397A8ED" w14:textId="26259C54" w:rsidR="000E4274" w:rsidRDefault="000E4274" w:rsidP="0078393F">
      <w:pPr>
        <w:pStyle w:val="Odstavecseseznamem"/>
        <w:numPr>
          <w:ilvl w:val="0"/>
          <w:numId w:val="36"/>
        </w:numPr>
        <w:spacing w:line="276" w:lineRule="auto"/>
        <w:jc w:val="both"/>
      </w:pPr>
      <w:r>
        <w:t>Informační panel.</w:t>
      </w:r>
    </w:p>
    <w:p w14:paraId="1D5FAAA9" w14:textId="15E44D19" w:rsidR="00C47492" w:rsidRDefault="000E4274" w:rsidP="0078393F">
      <w:pPr>
        <w:pStyle w:val="Odstavecseseznamem"/>
        <w:numPr>
          <w:ilvl w:val="0"/>
          <w:numId w:val="36"/>
        </w:numPr>
        <w:spacing w:line="276" w:lineRule="auto"/>
        <w:jc w:val="both"/>
      </w:pPr>
      <w:r>
        <w:t>Letáky.</w:t>
      </w:r>
    </w:p>
    <w:p w14:paraId="262FE5C7" w14:textId="0D721970" w:rsidR="00C47492" w:rsidRPr="00894C5E" w:rsidRDefault="00C47492" w:rsidP="0078393F">
      <w:pPr>
        <w:spacing w:after="0" w:line="276" w:lineRule="auto"/>
        <w:jc w:val="both"/>
      </w:pPr>
      <w:r>
        <w:t xml:space="preserve">V praxi rozlišíme při zapojování dotčené veřejnosti a při výměně informací s ní čtyři stupně spolupráce s veřejností: zajištění přístupu veřejnosti k informacím, aktivní informování občanů, konzultace s občany (oboustranná komunikace za účelem sběru připomínek, zjištění postoje veřejnosti </w:t>
      </w:r>
      <w:r w:rsidR="003A7A0D">
        <w:br/>
      </w:r>
      <w:r>
        <w:t>k dokumentu), spoluúčast veřejnosti na plánování. Je důležité upozornit, že jednotlivé části se vzájemně doplňují a vytvářejí provázaný systém. Při zapojování spolupracujících subjektů a další veřejnosti do místního akčního plánování mají své místo všechny tyto části.</w:t>
      </w:r>
    </w:p>
    <w:sectPr w:rsidR="00C47492" w:rsidRPr="00894C5E" w:rsidSect="00A91231">
      <w:headerReference w:type="default" r:id="rId15"/>
      <w:footerReference w:type="default" r:id="rId16"/>
      <w:headerReference w:type="first" r:id="rId17"/>
      <w:pgSz w:w="11906" w:h="16838"/>
      <w:pgMar w:top="1418"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30AE1" w14:textId="77777777" w:rsidR="000A41DC" w:rsidRDefault="000A41DC" w:rsidP="00BA67A7">
      <w:pPr>
        <w:spacing w:after="0" w:line="240" w:lineRule="auto"/>
      </w:pPr>
      <w:r>
        <w:separator/>
      </w:r>
    </w:p>
  </w:endnote>
  <w:endnote w:type="continuationSeparator" w:id="0">
    <w:p w14:paraId="2CB18960" w14:textId="77777777" w:rsidR="000A41DC" w:rsidRDefault="000A41DC" w:rsidP="00BA67A7">
      <w:pPr>
        <w:spacing w:after="0" w:line="240" w:lineRule="auto"/>
      </w:pPr>
      <w:r>
        <w:continuationSeparator/>
      </w:r>
    </w:p>
  </w:endnote>
  <w:endnote w:type="continuationNotice" w:id="1">
    <w:p w14:paraId="5E25AAAB" w14:textId="77777777" w:rsidR="000A41DC" w:rsidRDefault="000A41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556848"/>
      <w:docPartObj>
        <w:docPartGallery w:val="Page Numbers (Bottom of Page)"/>
        <w:docPartUnique/>
      </w:docPartObj>
    </w:sdtPr>
    <w:sdtEndPr>
      <w:rPr>
        <w:sz w:val="20"/>
        <w:szCs w:val="20"/>
      </w:rPr>
    </w:sdtEndPr>
    <w:sdtContent>
      <w:p w14:paraId="7AC83BA1" w14:textId="5631EDFF" w:rsidR="005B1DE9" w:rsidRPr="009F2A15" w:rsidRDefault="005B1DE9" w:rsidP="005B1DE9">
        <w:pPr>
          <w:pStyle w:val="Zpat"/>
          <w:jc w:val="center"/>
          <w:rPr>
            <w:sz w:val="20"/>
            <w:szCs w:val="20"/>
          </w:rPr>
        </w:pPr>
        <w:r w:rsidRPr="005B1DE9">
          <w:rPr>
            <w:color w:val="FFFFFF" w:themeColor="background1"/>
          </w:rPr>
          <w:fldChar w:fldCharType="begin"/>
        </w:r>
        <w:r w:rsidRPr="005B1DE9">
          <w:rPr>
            <w:color w:val="FFFFFF" w:themeColor="background1"/>
          </w:rPr>
          <w:instrText>PAGE   \* MERGEFORMAT</w:instrText>
        </w:r>
        <w:r w:rsidRPr="005B1DE9">
          <w:rPr>
            <w:color w:val="FFFFFF" w:themeColor="background1"/>
          </w:rPr>
          <w:fldChar w:fldCharType="separate"/>
        </w:r>
        <w:r w:rsidRPr="005B1DE9">
          <w:rPr>
            <w:color w:val="FFFFFF" w:themeColor="background1"/>
          </w:rPr>
          <w:t>1</w:t>
        </w:r>
        <w:r w:rsidRPr="005B1DE9">
          <w:rPr>
            <w:color w:val="FFFFFF" w:themeColor="background1"/>
          </w:rPr>
          <w:fldChar w:fldCharType="end"/>
        </w:r>
        <w:r w:rsidRPr="009F2A15">
          <w:rPr>
            <w:rFonts w:cstheme="minorHAnsi"/>
            <w:noProof/>
            <w:sz w:val="20"/>
            <w:szCs w:val="20"/>
            <w:lang w:eastAsia="cs-CZ"/>
          </w:rPr>
          <w:drawing>
            <wp:anchor distT="0" distB="0" distL="114300" distR="114300" simplePos="0" relativeHeight="251658242" behindDoc="0" locked="0" layoutInCell="1" allowOverlap="1" wp14:anchorId="3BB5F934" wp14:editId="71E22B3C">
              <wp:simplePos x="0" y="0"/>
              <wp:positionH relativeFrom="column">
                <wp:align>center</wp:align>
              </wp:positionH>
              <wp:positionV relativeFrom="paragraph">
                <wp:posOffset>172085</wp:posOffset>
              </wp:positionV>
              <wp:extent cx="5760000" cy="604800"/>
              <wp:effectExtent l="0" t="0" r="0" b="5080"/>
              <wp:wrapNone/>
              <wp:docPr id="1379734617" name="Obrázek 137973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Pgrafik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00" cy="604800"/>
                      </a:xfrm>
                      <a:prstGeom prst="rect">
                        <a:avLst/>
                      </a:prstGeom>
                    </pic:spPr>
                  </pic:pic>
                </a:graphicData>
              </a:graphic>
              <wp14:sizeRelH relativeFrom="margin">
                <wp14:pctWidth>0</wp14:pctWidth>
              </wp14:sizeRelH>
              <wp14:sizeRelV relativeFrom="margin">
                <wp14:pctHeight>0</wp14:pctHeight>
              </wp14:sizeRelV>
            </wp:anchor>
          </w:drawing>
        </w:r>
      </w:p>
    </w:sdtContent>
  </w:sdt>
  <w:p w14:paraId="6EA49A07" w14:textId="77777777" w:rsidR="005B1DE9" w:rsidRDefault="005B1DE9" w:rsidP="005B1DE9">
    <w:pPr>
      <w:pStyle w:val="Zpat"/>
    </w:pPr>
  </w:p>
  <w:p w14:paraId="49EA8B87" w14:textId="13A34CDB" w:rsidR="00BA67A7" w:rsidRPr="007141C2" w:rsidRDefault="00BA67A7" w:rsidP="00BA67A7">
    <w:pPr>
      <w:pStyle w:val="Zpat"/>
      <w:jc w:val="center"/>
      <w:rPr>
        <w:rFonts w:ascii="Arial" w:hAnsi="Arial" w:cs="Arial"/>
        <w:sz w:val="16"/>
        <w:szCs w:val="16"/>
      </w:rPr>
    </w:pPr>
  </w:p>
  <w:p w14:paraId="49EA8B88" w14:textId="77777777" w:rsidR="00BA67A7" w:rsidRDefault="00BA67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BB9F6" w14:textId="77777777" w:rsidR="000A41DC" w:rsidRDefault="000A41DC" w:rsidP="00BA67A7">
      <w:pPr>
        <w:spacing w:after="0" w:line="240" w:lineRule="auto"/>
      </w:pPr>
      <w:r>
        <w:separator/>
      </w:r>
    </w:p>
  </w:footnote>
  <w:footnote w:type="continuationSeparator" w:id="0">
    <w:p w14:paraId="10D0D0D5" w14:textId="77777777" w:rsidR="000A41DC" w:rsidRDefault="000A41DC" w:rsidP="00BA67A7">
      <w:pPr>
        <w:spacing w:after="0" w:line="240" w:lineRule="auto"/>
      </w:pPr>
      <w:r>
        <w:continuationSeparator/>
      </w:r>
    </w:p>
  </w:footnote>
  <w:footnote w:type="continuationNotice" w:id="1">
    <w:p w14:paraId="28F566BD" w14:textId="77777777" w:rsidR="000A41DC" w:rsidRDefault="000A41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A8B86" w14:textId="2731F18F" w:rsidR="00BF0E9A" w:rsidRDefault="005B1DE9" w:rsidP="005B1DE9">
    <w:pPr>
      <w:pStyle w:val="Zhlav"/>
      <w:jc w:val="center"/>
    </w:pPr>
    <w:r>
      <w:rPr>
        <w:noProof/>
      </w:rPr>
      <w:drawing>
        <wp:anchor distT="0" distB="0" distL="114300" distR="114300" simplePos="0" relativeHeight="251658241" behindDoc="0" locked="0" layoutInCell="1" allowOverlap="1" wp14:anchorId="6B84342D" wp14:editId="42EE7815">
          <wp:simplePos x="0" y="0"/>
          <wp:positionH relativeFrom="column">
            <wp:align>center</wp:align>
          </wp:positionH>
          <wp:positionV relativeFrom="paragraph">
            <wp:posOffset>-220980</wp:posOffset>
          </wp:positionV>
          <wp:extent cx="3600000" cy="514800"/>
          <wp:effectExtent l="0" t="0" r="635" b="0"/>
          <wp:wrapNone/>
          <wp:docPr id="127456238" name="Obrázek 127456238"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121749" name="Obrázek 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600000" cy="514800"/>
                  </a:xfrm>
                  <a:prstGeom prst="rect">
                    <a:avLst/>
                  </a:prstGeom>
                </pic:spPr>
              </pic:pic>
            </a:graphicData>
          </a:graphic>
          <wp14:sizeRelH relativeFrom="page">
            <wp14:pctWidth>0</wp14:pctWidth>
          </wp14:sizeRelH>
          <wp14:sizeRelV relativeFrom="page">
            <wp14:pctHeight>0</wp14:pctHeight>
          </wp14:sizeRelV>
        </wp:anchor>
      </w:drawing>
    </w:r>
    <w:sdt>
      <w:sdtPr>
        <w:id w:val="548112211"/>
        <w:docPartObj>
          <w:docPartGallery w:val="Page Numbers (Margins)"/>
          <w:docPartUnique/>
        </w:docPartObj>
      </w:sdtPr>
      <w:sdtContent>
        <w:r w:rsidR="008B0E21">
          <w:rPr>
            <w:noProof/>
            <w:lang w:eastAsia="cs-CZ"/>
          </w:rPr>
          <mc:AlternateContent>
            <mc:Choice Requires="wps">
              <w:drawing>
                <wp:anchor distT="0" distB="0" distL="114300" distR="114300" simplePos="0" relativeHeight="251658240" behindDoc="0" locked="0" layoutInCell="0" allowOverlap="1" wp14:anchorId="49EA8B8A" wp14:editId="49EA8B8B">
                  <wp:simplePos x="0" y="0"/>
                  <wp:positionH relativeFrom="rightMargin">
                    <wp:align>right</wp:align>
                  </wp:positionH>
                  <wp:positionV relativeFrom="margin">
                    <wp:align>center</wp:align>
                  </wp:positionV>
                  <wp:extent cx="727710" cy="329565"/>
                  <wp:effectExtent l="0" t="0" r="0" b="381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A8B98" w14:textId="77777777" w:rsidR="008B0E21" w:rsidRPr="00911F26" w:rsidRDefault="008B0E21">
                              <w:pPr>
                                <w:pBdr>
                                  <w:bottom w:val="single" w:sz="4" w:space="1" w:color="auto"/>
                                </w:pBdr>
                                <w:rPr>
                                  <w:sz w:val="20"/>
                                  <w:szCs w:val="20"/>
                                </w:rPr>
                              </w:pPr>
                              <w:r w:rsidRPr="00911F26">
                                <w:rPr>
                                  <w:sz w:val="20"/>
                                  <w:szCs w:val="20"/>
                                </w:rPr>
                                <w:fldChar w:fldCharType="begin"/>
                              </w:r>
                              <w:r w:rsidRPr="00911F26">
                                <w:rPr>
                                  <w:sz w:val="20"/>
                                  <w:szCs w:val="20"/>
                                </w:rPr>
                                <w:instrText>PAGE   \* MERGEFORMAT</w:instrText>
                              </w:r>
                              <w:r w:rsidRPr="00911F26">
                                <w:rPr>
                                  <w:sz w:val="20"/>
                                  <w:szCs w:val="20"/>
                                </w:rPr>
                                <w:fldChar w:fldCharType="separate"/>
                              </w:r>
                              <w:r w:rsidR="0072005D" w:rsidRPr="00911F26">
                                <w:rPr>
                                  <w:noProof/>
                                  <w:sz w:val="20"/>
                                  <w:szCs w:val="20"/>
                                </w:rPr>
                                <w:t>9</w:t>
                              </w:r>
                              <w:r w:rsidRPr="00911F26">
                                <w:rPr>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9EA8B8A" id="Obdélník 2" o:spid="_x0000_s1028" style="position:absolute;left:0;text-align:left;margin-left:6.1pt;margin-top:0;width:57.3pt;height:25.95pt;z-index:25165824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9EA8B98" w14:textId="77777777" w:rsidR="008B0E21" w:rsidRPr="00911F26" w:rsidRDefault="008B0E21">
                        <w:pPr>
                          <w:pBdr>
                            <w:bottom w:val="single" w:sz="4" w:space="1" w:color="auto"/>
                          </w:pBdr>
                          <w:rPr>
                            <w:sz w:val="20"/>
                            <w:szCs w:val="20"/>
                          </w:rPr>
                        </w:pPr>
                        <w:r w:rsidRPr="00911F26">
                          <w:rPr>
                            <w:sz w:val="20"/>
                            <w:szCs w:val="20"/>
                          </w:rPr>
                          <w:fldChar w:fldCharType="begin"/>
                        </w:r>
                        <w:r w:rsidRPr="00911F26">
                          <w:rPr>
                            <w:sz w:val="20"/>
                            <w:szCs w:val="20"/>
                          </w:rPr>
                          <w:instrText>PAGE   \* MERGEFORMAT</w:instrText>
                        </w:r>
                        <w:r w:rsidRPr="00911F26">
                          <w:rPr>
                            <w:sz w:val="20"/>
                            <w:szCs w:val="20"/>
                          </w:rPr>
                          <w:fldChar w:fldCharType="separate"/>
                        </w:r>
                        <w:r w:rsidR="0072005D" w:rsidRPr="00911F26">
                          <w:rPr>
                            <w:noProof/>
                            <w:sz w:val="20"/>
                            <w:szCs w:val="20"/>
                          </w:rPr>
                          <w:t>9</w:t>
                        </w:r>
                        <w:r w:rsidRPr="00911F26">
                          <w:rPr>
                            <w:sz w:val="20"/>
                            <w:szCs w:val="20"/>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A8B89" w14:textId="23A306B1" w:rsidR="001A0BB6" w:rsidRDefault="005B1DE9">
    <w:pPr>
      <w:pStyle w:val="Zhlav"/>
    </w:pPr>
    <w:r>
      <w:rPr>
        <w:noProof/>
      </w:rPr>
      <w:drawing>
        <wp:inline distT="0" distB="0" distL="0" distR="0" wp14:anchorId="03B3CD2C" wp14:editId="23D2B6AD">
          <wp:extent cx="3600000" cy="514800"/>
          <wp:effectExtent l="0" t="0" r="635" b="0"/>
          <wp:docPr id="1742840055" name="Obrázek 1742840055"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121749" name="Obrázek 3"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600000" cy="514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7429"/>
    <w:multiLevelType w:val="multilevel"/>
    <w:tmpl w:val="DF5A16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18903DD"/>
    <w:multiLevelType w:val="multilevel"/>
    <w:tmpl w:val="2AF452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130691"/>
    <w:multiLevelType w:val="multilevel"/>
    <w:tmpl w:val="83E8FF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820FC4"/>
    <w:multiLevelType w:val="hybridMultilevel"/>
    <w:tmpl w:val="F4AAB3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2817E0"/>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0CDA2BB0"/>
    <w:multiLevelType w:val="multilevel"/>
    <w:tmpl w:val="DD9660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7861BC9"/>
    <w:multiLevelType w:val="hybridMultilevel"/>
    <w:tmpl w:val="2E0A9EB8"/>
    <w:lvl w:ilvl="0" w:tplc="C89C9DEC">
      <w:numFmt w:val="bullet"/>
      <w:lvlText w:val="•"/>
      <w:lvlJc w:val="left"/>
      <w:pPr>
        <w:ind w:left="2145" w:hanging="705"/>
      </w:pPr>
      <w:rPr>
        <w:rFonts w:ascii="Calibri" w:eastAsiaTheme="minorHAns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1DDA5BE1"/>
    <w:multiLevelType w:val="multilevel"/>
    <w:tmpl w:val="6F209E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E861EE4"/>
    <w:multiLevelType w:val="hybridMultilevel"/>
    <w:tmpl w:val="8904EE5C"/>
    <w:lvl w:ilvl="0" w:tplc="C89C9DEC">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2D71F3"/>
    <w:multiLevelType w:val="hybridMultilevel"/>
    <w:tmpl w:val="4A286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FB5421"/>
    <w:multiLevelType w:val="hybridMultilevel"/>
    <w:tmpl w:val="8604C7CA"/>
    <w:lvl w:ilvl="0" w:tplc="C89C9DEC">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7D41CB"/>
    <w:multiLevelType w:val="hybridMultilevel"/>
    <w:tmpl w:val="AA2CCB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7E5C3F"/>
    <w:multiLevelType w:val="multilevel"/>
    <w:tmpl w:val="E02443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AFF32C6"/>
    <w:multiLevelType w:val="multilevel"/>
    <w:tmpl w:val="3036FA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EB63C60"/>
    <w:multiLevelType w:val="multilevel"/>
    <w:tmpl w:val="7B1444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27C7583"/>
    <w:multiLevelType w:val="hybridMultilevel"/>
    <w:tmpl w:val="07B04A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8B220B"/>
    <w:multiLevelType w:val="hybridMultilevel"/>
    <w:tmpl w:val="08DE7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572F66"/>
    <w:multiLevelType w:val="hybridMultilevel"/>
    <w:tmpl w:val="3BB060F8"/>
    <w:lvl w:ilvl="0" w:tplc="C89C9DEC">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205B3A"/>
    <w:multiLevelType w:val="hybridMultilevel"/>
    <w:tmpl w:val="EF508258"/>
    <w:lvl w:ilvl="0" w:tplc="C89C9DEC">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9327E6D"/>
    <w:multiLevelType w:val="hybridMultilevel"/>
    <w:tmpl w:val="F1EC82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5C0556"/>
    <w:multiLevelType w:val="multilevel"/>
    <w:tmpl w:val="4FDE8B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A8477CD"/>
    <w:multiLevelType w:val="multilevel"/>
    <w:tmpl w:val="4F109F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B2628EC"/>
    <w:multiLevelType w:val="multilevel"/>
    <w:tmpl w:val="B28290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B7E726E"/>
    <w:multiLevelType w:val="hybridMultilevel"/>
    <w:tmpl w:val="67CC8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4A6EB3"/>
    <w:multiLevelType w:val="hybridMultilevel"/>
    <w:tmpl w:val="0AF0FC4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15:restartNumberingAfterBreak="0">
    <w:nsid w:val="60E57900"/>
    <w:multiLevelType w:val="multilevel"/>
    <w:tmpl w:val="0A303D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73707AA"/>
    <w:multiLevelType w:val="hybridMultilevel"/>
    <w:tmpl w:val="6E648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97B6196"/>
    <w:multiLevelType w:val="multilevel"/>
    <w:tmpl w:val="0DD636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E700054"/>
    <w:multiLevelType w:val="hybridMultilevel"/>
    <w:tmpl w:val="89C0F1B0"/>
    <w:lvl w:ilvl="0" w:tplc="43A437C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675F82"/>
    <w:multiLevelType w:val="multilevel"/>
    <w:tmpl w:val="6C6E35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4CE6192"/>
    <w:multiLevelType w:val="multilevel"/>
    <w:tmpl w:val="F1BC42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69D3A0F"/>
    <w:multiLevelType w:val="hybridMultilevel"/>
    <w:tmpl w:val="0C72B792"/>
    <w:lvl w:ilvl="0" w:tplc="C89C9DEC">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8BC0942"/>
    <w:multiLevelType w:val="multilevel"/>
    <w:tmpl w:val="EFC4E2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8E65EA5"/>
    <w:multiLevelType w:val="hybridMultilevel"/>
    <w:tmpl w:val="4BC8B8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4D2AA0"/>
    <w:multiLevelType w:val="hybridMultilevel"/>
    <w:tmpl w:val="EE083138"/>
    <w:lvl w:ilvl="0" w:tplc="C89C9DEC">
      <w:numFmt w:val="bullet"/>
      <w:lvlText w:val="•"/>
      <w:lvlJc w:val="left"/>
      <w:pPr>
        <w:ind w:left="1065" w:hanging="705"/>
      </w:pPr>
      <w:rPr>
        <w:rFonts w:ascii="Calibri" w:eastAsiaTheme="minorHAnsi" w:hAnsi="Calibri" w:cs="Calibri" w:hint="default"/>
      </w:rPr>
    </w:lvl>
    <w:lvl w:ilvl="1" w:tplc="83FCE2EA">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91972597">
    <w:abstractNumId w:val="0"/>
  </w:num>
  <w:num w:numId="2" w16cid:durableId="1894609213">
    <w:abstractNumId w:val="25"/>
  </w:num>
  <w:num w:numId="3" w16cid:durableId="1634016746">
    <w:abstractNumId w:val="29"/>
  </w:num>
  <w:num w:numId="4" w16cid:durableId="1603100815">
    <w:abstractNumId w:val="21"/>
  </w:num>
  <w:num w:numId="5" w16cid:durableId="572812588">
    <w:abstractNumId w:val="13"/>
  </w:num>
  <w:num w:numId="6" w16cid:durableId="193615126">
    <w:abstractNumId w:val="5"/>
  </w:num>
  <w:num w:numId="7" w16cid:durableId="1264263847">
    <w:abstractNumId w:val="27"/>
  </w:num>
  <w:num w:numId="8" w16cid:durableId="1797794772">
    <w:abstractNumId w:val="20"/>
  </w:num>
  <w:num w:numId="9" w16cid:durableId="1285312190">
    <w:abstractNumId w:val="22"/>
  </w:num>
  <w:num w:numId="10" w16cid:durableId="1721662752">
    <w:abstractNumId w:val="32"/>
  </w:num>
  <w:num w:numId="11" w16cid:durableId="1997412338">
    <w:abstractNumId w:val="12"/>
  </w:num>
  <w:num w:numId="12" w16cid:durableId="624581279">
    <w:abstractNumId w:val="1"/>
  </w:num>
  <w:num w:numId="13" w16cid:durableId="573667791">
    <w:abstractNumId w:val="14"/>
  </w:num>
  <w:num w:numId="14" w16cid:durableId="1560364600">
    <w:abstractNumId w:val="7"/>
  </w:num>
  <w:num w:numId="15" w16cid:durableId="2078044503">
    <w:abstractNumId w:val="30"/>
  </w:num>
  <w:num w:numId="16" w16cid:durableId="638848395">
    <w:abstractNumId w:val="2"/>
  </w:num>
  <w:num w:numId="17" w16cid:durableId="1057166461">
    <w:abstractNumId w:val="3"/>
  </w:num>
  <w:num w:numId="18" w16cid:durableId="1068915646">
    <w:abstractNumId w:val="9"/>
  </w:num>
  <w:num w:numId="19" w16cid:durableId="19362761">
    <w:abstractNumId w:val="16"/>
  </w:num>
  <w:num w:numId="20" w16cid:durableId="380330263">
    <w:abstractNumId w:val="26"/>
  </w:num>
  <w:num w:numId="21" w16cid:durableId="863403471">
    <w:abstractNumId w:val="4"/>
  </w:num>
  <w:num w:numId="22" w16cid:durableId="18020711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2477824">
    <w:abstractNumId w:val="19"/>
  </w:num>
  <w:num w:numId="24" w16cid:durableId="898783866">
    <w:abstractNumId w:val="24"/>
  </w:num>
  <w:num w:numId="25" w16cid:durableId="1776289444">
    <w:abstractNumId w:val="33"/>
  </w:num>
  <w:num w:numId="26" w16cid:durableId="196237625">
    <w:abstractNumId w:val="15"/>
  </w:num>
  <w:num w:numId="27" w16cid:durableId="1797291178">
    <w:abstractNumId w:val="34"/>
  </w:num>
  <w:num w:numId="28" w16cid:durableId="1501505644">
    <w:abstractNumId w:val="28"/>
  </w:num>
  <w:num w:numId="29" w16cid:durableId="294609227">
    <w:abstractNumId w:val="17"/>
  </w:num>
  <w:num w:numId="30" w16cid:durableId="2035568795">
    <w:abstractNumId w:val="6"/>
  </w:num>
  <w:num w:numId="31" w16cid:durableId="536159790">
    <w:abstractNumId w:val="31"/>
  </w:num>
  <w:num w:numId="32" w16cid:durableId="1606578338">
    <w:abstractNumId w:val="18"/>
  </w:num>
  <w:num w:numId="33" w16cid:durableId="326905252">
    <w:abstractNumId w:val="8"/>
  </w:num>
  <w:num w:numId="34" w16cid:durableId="1454594631">
    <w:abstractNumId w:val="10"/>
  </w:num>
  <w:num w:numId="35" w16cid:durableId="343942637">
    <w:abstractNumId w:val="11"/>
  </w:num>
  <w:num w:numId="36" w16cid:durableId="19673501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7A7"/>
    <w:rsid w:val="000035E2"/>
    <w:rsid w:val="00004014"/>
    <w:rsid w:val="00014087"/>
    <w:rsid w:val="00040885"/>
    <w:rsid w:val="0004646F"/>
    <w:rsid w:val="0005086B"/>
    <w:rsid w:val="0005563A"/>
    <w:rsid w:val="0006055F"/>
    <w:rsid w:val="0007256A"/>
    <w:rsid w:val="00086837"/>
    <w:rsid w:val="00086B51"/>
    <w:rsid w:val="000A41DC"/>
    <w:rsid w:val="000B18AC"/>
    <w:rsid w:val="000C4522"/>
    <w:rsid w:val="000C4DF4"/>
    <w:rsid w:val="000C565B"/>
    <w:rsid w:val="000C75FA"/>
    <w:rsid w:val="000D0129"/>
    <w:rsid w:val="000E044C"/>
    <w:rsid w:val="000E1D7B"/>
    <w:rsid w:val="000E4274"/>
    <w:rsid w:val="001009C5"/>
    <w:rsid w:val="0012708D"/>
    <w:rsid w:val="00131176"/>
    <w:rsid w:val="00151C8A"/>
    <w:rsid w:val="00155456"/>
    <w:rsid w:val="0017560C"/>
    <w:rsid w:val="00175741"/>
    <w:rsid w:val="00181942"/>
    <w:rsid w:val="001903D6"/>
    <w:rsid w:val="001974B2"/>
    <w:rsid w:val="001A0BB6"/>
    <w:rsid w:val="001A199E"/>
    <w:rsid w:val="001A66BF"/>
    <w:rsid w:val="001E3B84"/>
    <w:rsid w:val="001E7576"/>
    <w:rsid w:val="00201E25"/>
    <w:rsid w:val="00204BD4"/>
    <w:rsid w:val="00207A43"/>
    <w:rsid w:val="00210CFE"/>
    <w:rsid w:val="002150CC"/>
    <w:rsid w:val="00215675"/>
    <w:rsid w:val="00216ECA"/>
    <w:rsid w:val="00257453"/>
    <w:rsid w:val="00263B94"/>
    <w:rsid w:val="002744E7"/>
    <w:rsid w:val="002B24B5"/>
    <w:rsid w:val="002B402A"/>
    <w:rsid w:val="002D0512"/>
    <w:rsid w:val="002D4124"/>
    <w:rsid w:val="002E6802"/>
    <w:rsid w:val="003022B2"/>
    <w:rsid w:val="00317BAE"/>
    <w:rsid w:val="00322F3B"/>
    <w:rsid w:val="00333F64"/>
    <w:rsid w:val="0033517F"/>
    <w:rsid w:val="00341F2A"/>
    <w:rsid w:val="00342527"/>
    <w:rsid w:val="00342F28"/>
    <w:rsid w:val="00345770"/>
    <w:rsid w:val="003459BD"/>
    <w:rsid w:val="00350B7D"/>
    <w:rsid w:val="00353F1D"/>
    <w:rsid w:val="00366FBB"/>
    <w:rsid w:val="00370BB9"/>
    <w:rsid w:val="00371658"/>
    <w:rsid w:val="0039301D"/>
    <w:rsid w:val="003A6F72"/>
    <w:rsid w:val="003A7A0D"/>
    <w:rsid w:val="003C779C"/>
    <w:rsid w:val="003E7C32"/>
    <w:rsid w:val="003F321D"/>
    <w:rsid w:val="003F56C3"/>
    <w:rsid w:val="00400E35"/>
    <w:rsid w:val="00417212"/>
    <w:rsid w:val="00417A9D"/>
    <w:rsid w:val="00432824"/>
    <w:rsid w:val="00435A71"/>
    <w:rsid w:val="00441BB4"/>
    <w:rsid w:val="00460158"/>
    <w:rsid w:val="00471AC1"/>
    <w:rsid w:val="00476950"/>
    <w:rsid w:val="0048478E"/>
    <w:rsid w:val="00485747"/>
    <w:rsid w:val="004858D1"/>
    <w:rsid w:val="004A10A6"/>
    <w:rsid w:val="004C0F4E"/>
    <w:rsid w:val="004C2B4A"/>
    <w:rsid w:val="004D5A93"/>
    <w:rsid w:val="004E19B9"/>
    <w:rsid w:val="004E7C38"/>
    <w:rsid w:val="004F2B52"/>
    <w:rsid w:val="005030E0"/>
    <w:rsid w:val="00510162"/>
    <w:rsid w:val="00510662"/>
    <w:rsid w:val="005111FA"/>
    <w:rsid w:val="00511EA3"/>
    <w:rsid w:val="00522B2A"/>
    <w:rsid w:val="00575807"/>
    <w:rsid w:val="005829DE"/>
    <w:rsid w:val="00587280"/>
    <w:rsid w:val="005923E3"/>
    <w:rsid w:val="005A02BD"/>
    <w:rsid w:val="005B1DE9"/>
    <w:rsid w:val="005C2844"/>
    <w:rsid w:val="005F10E6"/>
    <w:rsid w:val="0060096A"/>
    <w:rsid w:val="00603667"/>
    <w:rsid w:val="00605583"/>
    <w:rsid w:val="00607309"/>
    <w:rsid w:val="006202E3"/>
    <w:rsid w:val="0063192F"/>
    <w:rsid w:val="00634A69"/>
    <w:rsid w:val="006429F3"/>
    <w:rsid w:val="00655375"/>
    <w:rsid w:val="00655763"/>
    <w:rsid w:val="00672DAD"/>
    <w:rsid w:val="00694F07"/>
    <w:rsid w:val="00697A3A"/>
    <w:rsid w:val="006A4906"/>
    <w:rsid w:val="006A72C0"/>
    <w:rsid w:val="006B565A"/>
    <w:rsid w:val="006B79F6"/>
    <w:rsid w:val="006C7146"/>
    <w:rsid w:val="006D1258"/>
    <w:rsid w:val="006E42CE"/>
    <w:rsid w:val="006E50AE"/>
    <w:rsid w:val="006F5B90"/>
    <w:rsid w:val="007011A6"/>
    <w:rsid w:val="0072005D"/>
    <w:rsid w:val="00726FF3"/>
    <w:rsid w:val="0073535C"/>
    <w:rsid w:val="00747132"/>
    <w:rsid w:val="00753A99"/>
    <w:rsid w:val="007625EB"/>
    <w:rsid w:val="00770738"/>
    <w:rsid w:val="007711BF"/>
    <w:rsid w:val="00772780"/>
    <w:rsid w:val="0078393F"/>
    <w:rsid w:val="0079108C"/>
    <w:rsid w:val="007912DF"/>
    <w:rsid w:val="0079790D"/>
    <w:rsid w:val="007B09DB"/>
    <w:rsid w:val="007C0190"/>
    <w:rsid w:val="007C0CF0"/>
    <w:rsid w:val="007C71DB"/>
    <w:rsid w:val="007E2FE8"/>
    <w:rsid w:val="007F668E"/>
    <w:rsid w:val="00800EEF"/>
    <w:rsid w:val="00807850"/>
    <w:rsid w:val="00811554"/>
    <w:rsid w:val="00822F63"/>
    <w:rsid w:val="00837163"/>
    <w:rsid w:val="008527E7"/>
    <w:rsid w:val="008576D6"/>
    <w:rsid w:val="00857E5B"/>
    <w:rsid w:val="0087043B"/>
    <w:rsid w:val="008742CC"/>
    <w:rsid w:val="00880E74"/>
    <w:rsid w:val="00883E82"/>
    <w:rsid w:val="008948F6"/>
    <w:rsid w:val="00894C5E"/>
    <w:rsid w:val="008B03C8"/>
    <w:rsid w:val="008B0E21"/>
    <w:rsid w:val="008B52BF"/>
    <w:rsid w:val="008D6D4A"/>
    <w:rsid w:val="008E2DBF"/>
    <w:rsid w:val="008E7084"/>
    <w:rsid w:val="008F1F81"/>
    <w:rsid w:val="009032ED"/>
    <w:rsid w:val="0090624E"/>
    <w:rsid w:val="00906C93"/>
    <w:rsid w:val="00911F26"/>
    <w:rsid w:val="00921C67"/>
    <w:rsid w:val="00922E2F"/>
    <w:rsid w:val="009552E3"/>
    <w:rsid w:val="009567CB"/>
    <w:rsid w:val="0098493F"/>
    <w:rsid w:val="00990056"/>
    <w:rsid w:val="009918DA"/>
    <w:rsid w:val="009928A4"/>
    <w:rsid w:val="009B2287"/>
    <w:rsid w:val="009C0417"/>
    <w:rsid w:val="009E6C41"/>
    <w:rsid w:val="009E6EA9"/>
    <w:rsid w:val="009E7EAF"/>
    <w:rsid w:val="00A06318"/>
    <w:rsid w:val="00A06A65"/>
    <w:rsid w:val="00A106B7"/>
    <w:rsid w:val="00A15414"/>
    <w:rsid w:val="00A17E46"/>
    <w:rsid w:val="00A2465F"/>
    <w:rsid w:val="00A31B26"/>
    <w:rsid w:val="00A365A9"/>
    <w:rsid w:val="00A44AB0"/>
    <w:rsid w:val="00A46511"/>
    <w:rsid w:val="00A834A3"/>
    <w:rsid w:val="00A91231"/>
    <w:rsid w:val="00A941F4"/>
    <w:rsid w:val="00AA335B"/>
    <w:rsid w:val="00AB739C"/>
    <w:rsid w:val="00AD381D"/>
    <w:rsid w:val="00AD4B31"/>
    <w:rsid w:val="00AD7129"/>
    <w:rsid w:val="00AF66DA"/>
    <w:rsid w:val="00B01FB4"/>
    <w:rsid w:val="00B042D9"/>
    <w:rsid w:val="00B071B7"/>
    <w:rsid w:val="00B17F67"/>
    <w:rsid w:val="00B329B6"/>
    <w:rsid w:val="00B35B36"/>
    <w:rsid w:val="00B35DFE"/>
    <w:rsid w:val="00B5552F"/>
    <w:rsid w:val="00B56BA6"/>
    <w:rsid w:val="00B7685F"/>
    <w:rsid w:val="00BA2F69"/>
    <w:rsid w:val="00BA4B03"/>
    <w:rsid w:val="00BA67A7"/>
    <w:rsid w:val="00BB1795"/>
    <w:rsid w:val="00BB6BBA"/>
    <w:rsid w:val="00BC47A0"/>
    <w:rsid w:val="00BD5CB5"/>
    <w:rsid w:val="00BF0E9A"/>
    <w:rsid w:val="00C250C4"/>
    <w:rsid w:val="00C3038A"/>
    <w:rsid w:val="00C4420C"/>
    <w:rsid w:val="00C47492"/>
    <w:rsid w:val="00C54944"/>
    <w:rsid w:val="00C55771"/>
    <w:rsid w:val="00C57406"/>
    <w:rsid w:val="00C62A2C"/>
    <w:rsid w:val="00C91884"/>
    <w:rsid w:val="00CA687F"/>
    <w:rsid w:val="00CC0D14"/>
    <w:rsid w:val="00CC1383"/>
    <w:rsid w:val="00CD0A69"/>
    <w:rsid w:val="00CD6C6F"/>
    <w:rsid w:val="00CE1568"/>
    <w:rsid w:val="00CE78A9"/>
    <w:rsid w:val="00CF3C8F"/>
    <w:rsid w:val="00CF6E3B"/>
    <w:rsid w:val="00D00A1A"/>
    <w:rsid w:val="00D25848"/>
    <w:rsid w:val="00D25ED9"/>
    <w:rsid w:val="00D318EC"/>
    <w:rsid w:val="00D43791"/>
    <w:rsid w:val="00D47338"/>
    <w:rsid w:val="00D55A59"/>
    <w:rsid w:val="00D76CED"/>
    <w:rsid w:val="00D96B3A"/>
    <w:rsid w:val="00DB0FB9"/>
    <w:rsid w:val="00DB4990"/>
    <w:rsid w:val="00DC7826"/>
    <w:rsid w:val="00DD6E25"/>
    <w:rsid w:val="00DF68C5"/>
    <w:rsid w:val="00E043B8"/>
    <w:rsid w:val="00E125C4"/>
    <w:rsid w:val="00E35083"/>
    <w:rsid w:val="00E43A82"/>
    <w:rsid w:val="00E50C00"/>
    <w:rsid w:val="00E65700"/>
    <w:rsid w:val="00E66DE8"/>
    <w:rsid w:val="00E7623B"/>
    <w:rsid w:val="00E90C93"/>
    <w:rsid w:val="00EA39E7"/>
    <w:rsid w:val="00EC69F6"/>
    <w:rsid w:val="00ED5552"/>
    <w:rsid w:val="00EF0599"/>
    <w:rsid w:val="00EF35C1"/>
    <w:rsid w:val="00F23F2F"/>
    <w:rsid w:val="00F45D5E"/>
    <w:rsid w:val="00F520A2"/>
    <w:rsid w:val="00F63B3A"/>
    <w:rsid w:val="00F65C04"/>
    <w:rsid w:val="00F66810"/>
    <w:rsid w:val="00F7151E"/>
    <w:rsid w:val="00F776CE"/>
    <w:rsid w:val="00F8763E"/>
    <w:rsid w:val="00F93C46"/>
    <w:rsid w:val="00F93E51"/>
    <w:rsid w:val="00FD20A6"/>
    <w:rsid w:val="00FD291F"/>
    <w:rsid w:val="00FD56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A8A94"/>
  <w15:chartTrackingRefBased/>
  <w15:docId w15:val="{A22DEE9D-9CCF-4FC0-A287-D71F1B85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E7C32"/>
    <w:pPr>
      <w:keepNext/>
      <w:keepLines/>
      <w:numPr>
        <w:numId w:val="2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E7C32"/>
    <w:pPr>
      <w:keepNext/>
      <w:keepLines/>
      <w:numPr>
        <w:ilvl w:val="1"/>
        <w:numId w:val="2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3E7C32"/>
    <w:pPr>
      <w:keepNext/>
      <w:keepLines/>
      <w:numPr>
        <w:ilvl w:val="2"/>
        <w:numId w:val="2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3E7C32"/>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3E7C32"/>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3E7C32"/>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3E7C32"/>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3E7C32"/>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E7C32"/>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7A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67A7"/>
  </w:style>
  <w:style w:type="paragraph" w:styleId="Zpat">
    <w:name w:val="footer"/>
    <w:basedOn w:val="Normln"/>
    <w:link w:val="ZpatChar"/>
    <w:uiPriority w:val="99"/>
    <w:unhideWhenUsed/>
    <w:rsid w:val="00BA67A7"/>
    <w:pPr>
      <w:tabs>
        <w:tab w:val="center" w:pos="4536"/>
        <w:tab w:val="right" w:pos="9072"/>
      </w:tabs>
      <w:spacing w:after="0" w:line="240" w:lineRule="auto"/>
    </w:pPr>
  </w:style>
  <w:style w:type="character" w:customStyle="1" w:styleId="ZpatChar">
    <w:name w:val="Zápatí Char"/>
    <w:basedOn w:val="Standardnpsmoodstavce"/>
    <w:link w:val="Zpat"/>
    <w:uiPriority w:val="99"/>
    <w:rsid w:val="00BA67A7"/>
  </w:style>
  <w:style w:type="paragraph" w:styleId="Odstavecseseznamem">
    <w:name w:val="List Paragraph"/>
    <w:aliases w:val="Nad,Odstavec_muj,nad 1,Odstavec se seznamem1"/>
    <w:basedOn w:val="Normln"/>
    <w:link w:val="OdstavecseseznamemChar"/>
    <w:uiPriority w:val="34"/>
    <w:qFormat/>
    <w:rsid w:val="00BA4B03"/>
    <w:pPr>
      <w:ind w:left="720"/>
      <w:contextualSpacing/>
    </w:pPr>
  </w:style>
  <w:style w:type="character" w:customStyle="1" w:styleId="Nadpis1Char">
    <w:name w:val="Nadpis 1 Char"/>
    <w:basedOn w:val="Standardnpsmoodstavce"/>
    <w:link w:val="Nadpis1"/>
    <w:uiPriority w:val="9"/>
    <w:rsid w:val="003E7C32"/>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3E7C32"/>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3E7C32"/>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3E7C32"/>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3E7C32"/>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3E7C32"/>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3E7C32"/>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3E7C3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E7C32"/>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sid w:val="00086837"/>
    <w:rPr>
      <w:color w:val="0563C1" w:themeColor="hyperlink"/>
      <w:u w:val="single"/>
    </w:rPr>
  </w:style>
  <w:style w:type="character" w:styleId="Sledovanodkaz">
    <w:name w:val="FollowedHyperlink"/>
    <w:basedOn w:val="Standardnpsmoodstavce"/>
    <w:uiPriority w:val="99"/>
    <w:semiHidden/>
    <w:unhideWhenUsed/>
    <w:rsid w:val="00655375"/>
    <w:rPr>
      <w:color w:val="954F72" w:themeColor="followedHyperlink"/>
      <w:u w:val="single"/>
    </w:rPr>
  </w:style>
  <w:style w:type="character" w:customStyle="1" w:styleId="OdstavecseseznamemChar">
    <w:name w:val="Odstavec se seznamem Char"/>
    <w:aliases w:val="Nad Char,Odstavec_muj Char,nad 1 Char,Odstavec se seznamem1 Char"/>
    <w:link w:val="Odstavecseseznamem"/>
    <w:uiPriority w:val="34"/>
    <w:locked/>
    <w:rsid w:val="00811554"/>
  </w:style>
  <w:style w:type="table" w:styleId="Mkatabulky">
    <w:name w:val="Table Grid"/>
    <w:basedOn w:val="Normlntabulka"/>
    <w:uiPriority w:val="59"/>
    <w:rsid w:val="003F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6F72"/>
    <w:pPr>
      <w:autoSpaceDE w:val="0"/>
      <w:autoSpaceDN w:val="0"/>
      <w:adjustRightInd w:val="0"/>
      <w:spacing w:after="0" w:line="240" w:lineRule="auto"/>
    </w:pPr>
    <w:rPr>
      <w:rFonts w:ascii="Calibri" w:hAnsi="Calibri" w:cs="Calibri"/>
      <w:color w:val="000000"/>
      <w:sz w:val="24"/>
      <w:szCs w:val="24"/>
    </w:rPr>
  </w:style>
  <w:style w:type="paragraph" w:styleId="Zkladntext">
    <w:name w:val="Body Text"/>
    <w:basedOn w:val="Normln"/>
    <w:link w:val="ZkladntextChar"/>
    <w:uiPriority w:val="1"/>
    <w:qFormat/>
    <w:rsid w:val="000C4522"/>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C4522"/>
    <w:rPr>
      <w:rFonts w:ascii="Calibri" w:eastAsia="Calibri" w:hAnsi="Calibri" w:cs="Calibri"/>
    </w:rPr>
  </w:style>
  <w:style w:type="character" w:styleId="Odkaznakoment">
    <w:name w:val="annotation reference"/>
    <w:basedOn w:val="Standardnpsmoodstavce"/>
    <w:uiPriority w:val="99"/>
    <w:semiHidden/>
    <w:unhideWhenUsed/>
    <w:rsid w:val="00BB6BBA"/>
    <w:rPr>
      <w:sz w:val="16"/>
      <w:szCs w:val="16"/>
    </w:rPr>
  </w:style>
  <w:style w:type="paragraph" w:styleId="Textkomente">
    <w:name w:val="annotation text"/>
    <w:basedOn w:val="Normln"/>
    <w:link w:val="TextkomenteChar"/>
    <w:uiPriority w:val="99"/>
    <w:unhideWhenUsed/>
    <w:rsid w:val="00BB6BBA"/>
    <w:pPr>
      <w:spacing w:line="240" w:lineRule="auto"/>
    </w:pPr>
    <w:rPr>
      <w:sz w:val="20"/>
      <w:szCs w:val="20"/>
    </w:rPr>
  </w:style>
  <w:style w:type="character" w:customStyle="1" w:styleId="TextkomenteChar">
    <w:name w:val="Text komentáře Char"/>
    <w:basedOn w:val="Standardnpsmoodstavce"/>
    <w:link w:val="Textkomente"/>
    <w:uiPriority w:val="99"/>
    <w:rsid w:val="00BB6BBA"/>
    <w:rPr>
      <w:sz w:val="20"/>
      <w:szCs w:val="20"/>
    </w:rPr>
  </w:style>
  <w:style w:type="paragraph" w:styleId="Pedmtkomente">
    <w:name w:val="annotation subject"/>
    <w:basedOn w:val="Textkomente"/>
    <w:next w:val="Textkomente"/>
    <w:link w:val="PedmtkomenteChar"/>
    <w:uiPriority w:val="99"/>
    <w:semiHidden/>
    <w:unhideWhenUsed/>
    <w:rsid w:val="00BB6BBA"/>
    <w:rPr>
      <w:b/>
      <w:bCs/>
    </w:rPr>
  </w:style>
  <w:style w:type="character" w:customStyle="1" w:styleId="PedmtkomenteChar">
    <w:name w:val="Předmět komentáře Char"/>
    <w:basedOn w:val="TextkomenteChar"/>
    <w:link w:val="Pedmtkomente"/>
    <w:uiPriority w:val="99"/>
    <w:semiHidden/>
    <w:rsid w:val="00BB6B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ap.jablunk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map.jablunk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32f99a-ec35-48f4-becb-5276efe12eb5">
      <Terms xmlns="http://schemas.microsoft.com/office/infopath/2007/PartnerControls"/>
    </lcf76f155ced4ddcb4097134ff3c332f>
    <TaxCatchAll xmlns="cf4f97eb-5d28-49eb-8972-8f8a2972c6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199DAE56586FD4A801DFF173D3AEF7B" ma:contentTypeVersion="15" ma:contentTypeDescription="Vytvoří nový dokument" ma:contentTypeScope="" ma:versionID="73bac4c75d3e51c142ea6f27402bb7e2">
  <xsd:schema xmlns:xsd="http://www.w3.org/2001/XMLSchema" xmlns:xs="http://www.w3.org/2001/XMLSchema" xmlns:p="http://schemas.microsoft.com/office/2006/metadata/properties" xmlns:ns2="cf4f97eb-5d28-49eb-8972-8f8a2972c649" xmlns:ns3="d832f99a-ec35-48f4-becb-5276efe12eb5" targetNamespace="http://schemas.microsoft.com/office/2006/metadata/properties" ma:root="true" ma:fieldsID="0b721680980a93e4f2f0a77ca55d798f" ns2:_="" ns3:_="">
    <xsd:import namespace="cf4f97eb-5d28-49eb-8972-8f8a2972c649"/>
    <xsd:import namespace="d832f99a-ec35-48f4-becb-5276efe12e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97eb-5d28-49eb-8972-8f8a2972c64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Sloupec zachycení celé taxonomie" ma:hidden="true" ma:list="{73794e92-3874-48ba-b26f-9c635f075140}" ma:internalName="TaxCatchAll" ma:showField="CatchAllData" ma:web="cf4f97eb-5d28-49eb-8972-8f8a2972c6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32f99a-ec35-48f4-becb-5276efe12e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4b6c111-1938-4821-85f3-92cb4bcf78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07CC9-2274-49D4-B58F-ED32BF78A7B9}">
  <ds:schemaRefs>
    <ds:schemaRef ds:uri="http://schemas.microsoft.com/sharepoint/v3/contenttype/forms"/>
  </ds:schemaRefs>
</ds:datastoreItem>
</file>

<file path=customXml/itemProps2.xml><?xml version="1.0" encoding="utf-8"?>
<ds:datastoreItem xmlns:ds="http://schemas.openxmlformats.org/officeDocument/2006/customXml" ds:itemID="{4F11169A-A8A5-4D33-B3F9-D39209FBDA2A}">
  <ds:schemaRefs>
    <ds:schemaRef ds:uri="http://schemas.openxmlformats.org/officeDocument/2006/bibliography"/>
  </ds:schemaRefs>
</ds:datastoreItem>
</file>

<file path=customXml/itemProps3.xml><?xml version="1.0" encoding="utf-8"?>
<ds:datastoreItem xmlns:ds="http://schemas.openxmlformats.org/officeDocument/2006/customXml" ds:itemID="{E987F166-4CFC-43A6-B3C7-FA1EE610E8E1}">
  <ds:schemaRefs>
    <ds:schemaRef ds:uri="http://schemas.microsoft.com/office/2006/metadata/properties"/>
    <ds:schemaRef ds:uri="http://schemas.microsoft.com/office/infopath/2007/PartnerControls"/>
    <ds:schemaRef ds:uri="d832f99a-ec35-48f4-becb-5276efe12eb5"/>
    <ds:schemaRef ds:uri="cf4f97eb-5d28-49eb-8972-8f8a2972c649"/>
  </ds:schemaRefs>
</ds:datastoreItem>
</file>

<file path=customXml/itemProps4.xml><?xml version="1.0" encoding="utf-8"?>
<ds:datastoreItem xmlns:ds="http://schemas.openxmlformats.org/officeDocument/2006/customXml" ds:itemID="{D3F5679F-2618-4900-92CF-815CEE075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97eb-5d28-49eb-8972-8f8a2972c649"/>
    <ds:schemaRef ds:uri="d832f99a-ec35-48f4-becb-5276efe12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6067</TotalTime>
  <Pages>9</Pages>
  <Words>3065</Words>
  <Characters>18084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trombikoval</dc:creator>
  <cp:keywords/>
  <dc:description/>
  <cp:lastModifiedBy>Lucie Trombiková</cp:lastModifiedBy>
  <cp:revision>227</cp:revision>
  <cp:lastPrinted>2020-03-30T12:33:00Z</cp:lastPrinted>
  <dcterms:created xsi:type="dcterms:W3CDTF">2018-09-17T12:10:00Z</dcterms:created>
  <dcterms:modified xsi:type="dcterms:W3CDTF">2024-09-15T19:16:00Z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0x010100D199DAE56586FD4A801DFF173D3AEF7B</vt:lpwstr>
  </property>
  <property fmtid="{D5CDD505-2E9C-101B-9397-08002B2CF9AE}" pid="3" name="MediaServiceImageTags">
    <vt:lpwstr/>
  </property>
</Properties>
</file>