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35856" w14:textId="2AC13CC8" w:rsidR="00A929F8" w:rsidRDefault="00292174" w:rsidP="0045329C">
      <w:pPr>
        <w:pStyle w:val="Titulek"/>
        <w:keepNext/>
      </w:pPr>
      <w:r>
        <w:rPr>
          <w:rFonts w:cs="Arial"/>
          <w:b/>
          <w:noProof/>
          <w:color w:val="385623"/>
          <w:sz w:val="40"/>
          <w:szCs w:val="40"/>
          <w:lang w:eastAsia="cs-CZ"/>
        </w:rPr>
        <w:drawing>
          <wp:anchor distT="0" distB="0" distL="114300" distR="114300" simplePos="0" relativeHeight="251661312" behindDoc="0" locked="0" layoutInCell="1" allowOverlap="1" wp14:anchorId="7E0E50F3" wp14:editId="32B0B300">
            <wp:simplePos x="0" y="0"/>
            <wp:positionH relativeFrom="column">
              <wp:posOffset>55880</wp:posOffset>
            </wp:positionH>
            <wp:positionV relativeFrom="paragraph">
              <wp:posOffset>-24694</wp:posOffset>
            </wp:positionV>
            <wp:extent cx="2476500" cy="112430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y vzdělávání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1243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noProof/>
          <w:color w:val="385623"/>
          <w:sz w:val="40"/>
          <w:szCs w:val="40"/>
          <w:lang w:eastAsia="cs-CZ"/>
        </w:rPr>
        <w:drawing>
          <wp:anchor distT="0" distB="0" distL="114300" distR="114300" simplePos="0" relativeHeight="251659264" behindDoc="1" locked="0" layoutInCell="1" allowOverlap="1" wp14:anchorId="29C2D929" wp14:editId="35309663">
            <wp:simplePos x="0" y="0"/>
            <wp:positionH relativeFrom="column">
              <wp:posOffset>4178865</wp:posOffset>
            </wp:positionH>
            <wp:positionV relativeFrom="paragraph">
              <wp:posOffset>-1057981</wp:posOffset>
            </wp:positionV>
            <wp:extent cx="2606605" cy="11135723"/>
            <wp:effectExtent l="0" t="0" r="3810" b="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API final grafik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605" cy="111357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7AAAD9" w14:textId="01FFB35D" w:rsidR="00A929F8" w:rsidRDefault="00A929F8" w:rsidP="0045329C">
      <w:pPr>
        <w:pStyle w:val="Titulek"/>
        <w:keepNext/>
      </w:pPr>
    </w:p>
    <w:p w14:paraId="4C18C22C" w14:textId="74BCC2A6" w:rsidR="00A929F8" w:rsidRDefault="00A929F8" w:rsidP="0045329C">
      <w:pPr>
        <w:pStyle w:val="Titulek"/>
        <w:keepNext/>
      </w:pPr>
    </w:p>
    <w:p w14:paraId="1A369D9C" w14:textId="2FD5739E" w:rsidR="00A929F8" w:rsidRDefault="00A929F8" w:rsidP="0045329C">
      <w:pPr>
        <w:pStyle w:val="Titulek"/>
        <w:keepNext/>
      </w:pPr>
    </w:p>
    <w:p w14:paraId="5D827A5F" w14:textId="0D136BD3" w:rsidR="00A929F8" w:rsidRDefault="00A929F8" w:rsidP="0045329C">
      <w:pPr>
        <w:pStyle w:val="Titulek"/>
        <w:keepNext/>
      </w:pPr>
    </w:p>
    <w:p w14:paraId="3E6E59BB" w14:textId="03E15827" w:rsidR="00A929F8" w:rsidRDefault="00A929F8" w:rsidP="0045329C">
      <w:pPr>
        <w:pStyle w:val="Titulek"/>
        <w:keepNext/>
      </w:pPr>
    </w:p>
    <w:p w14:paraId="6C347015" w14:textId="4B154BD9" w:rsidR="00A929F8" w:rsidRDefault="00A929F8" w:rsidP="0045329C">
      <w:pPr>
        <w:pStyle w:val="Titulek"/>
        <w:keepNext/>
      </w:pPr>
    </w:p>
    <w:p w14:paraId="1180DCD6" w14:textId="4B0A0E05" w:rsidR="00A929F8" w:rsidRDefault="00A929F8" w:rsidP="0045329C">
      <w:pPr>
        <w:pStyle w:val="Titulek"/>
        <w:keepNext/>
      </w:pPr>
    </w:p>
    <w:p w14:paraId="24BC5CAE" w14:textId="767C09A2" w:rsidR="00A929F8" w:rsidRDefault="00A929F8" w:rsidP="0045329C">
      <w:pPr>
        <w:pStyle w:val="Titulek"/>
        <w:keepNext/>
      </w:pPr>
    </w:p>
    <w:p w14:paraId="499BCBA1" w14:textId="3B5A3B27" w:rsidR="00A929F8" w:rsidRDefault="00065D12" w:rsidP="0045329C">
      <w:pPr>
        <w:pStyle w:val="Titulek"/>
        <w:keepNext/>
      </w:pPr>
      <w:r w:rsidRPr="005C1B6F">
        <w:rPr>
          <w:rFonts w:cs="Arial"/>
          <w:b/>
          <w:noProof/>
          <w:color w:val="385623"/>
          <w:sz w:val="40"/>
          <w:szCs w:val="40"/>
          <w:lang w:eastAsia="cs-CZ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01DA2AC" wp14:editId="3A78EB75">
                <wp:simplePos x="0" y="0"/>
                <wp:positionH relativeFrom="column">
                  <wp:posOffset>-8043</wp:posOffset>
                </wp:positionH>
                <wp:positionV relativeFrom="paragraph">
                  <wp:posOffset>234598</wp:posOffset>
                </wp:positionV>
                <wp:extent cx="4041140" cy="1546225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1140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2DEFF" w14:textId="3C90EEC5" w:rsidR="00AA0D3C" w:rsidRPr="00AF2912" w:rsidRDefault="00AA0D3C" w:rsidP="00E66DA1">
                            <w:pPr>
                              <w:spacing w:after="0" w:line="360" w:lineRule="auto"/>
                              <w:rPr>
                                <w:rFonts w:ascii="Neue Haas Grotesk Text Pro" w:hAnsi="Neue Haas Grotesk Text Pro"/>
                                <w:sz w:val="32"/>
                                <w:szCs w:val="32"/>
                              </w:rPr>
                            </w:pPr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Místní akční plán pro ORP</w:t>
                            </w:r>
                            <w:r w:rsid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Jablunkov I</w:t>
                            </w:r>
                            <w:r w:rsidR="002F12B1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I</w:t>
                            </w:r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I                                                                        </w:t>
                            </w:r>
                            <w:proofErr w:type="spellStart"/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reg</w:t>
                            </w:r>
                            <w:proofErr w:type="spellEnd"/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. č. projektu </w:t>
                            </w:r>
                            <w:r w:rsidR="002F12B1" w:rsidRPr="002F12B1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CZ.02.3.68/0.0/0.0/20_082/0023094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DA2A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.65pt;margin-top:18.45pt;width:318.2pt;height:1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" stroked="f">
                <v:textbox>
                  <w:txbxContent>
                    <w:p w14:paraId="3BA2DEFF" w14:textId="3C90EEC5" w:rsidR="00AA0D3C" w:rsidRPr="00AF2912" w:rsidRDefault="00AA0D3C" w:rsidP="00E66DA1">
                      <w:pPr>
                        <w:spacing w:after="0" w:line="360" w:lineRule="auto"/>
                        <w:rPr>
                          <w:rFonts w:ascii="Neue Haas Grotesk Text Pro" w:hAnsi="Neue Haas Grotesk Text Pro"/>
                          <w:sz w:val="32"/>
                          <w:szCs w:val="32"/>
                        </w:rPr>
                      </w:pPr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Místní akční plán pro ORP</w:t>
                      </w:r>
                      <w:r w:rsid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Jablunkov I</w:t>
                      </w:r>
                      <w:r w:rsidR="002F12B1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</w:t>
                      </w:r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I                                                                        </w:t>
                      </w:r>
                      <w:proofErr w:type="spellStart"/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reg</w:t>
                      </w:r>
                      <w:proofErr w:type="spellEnd"/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. č. projektu </w:t>
                      </w:r>
                      <w:r w:rsidR="002F12B1" w:rsidRPr="002F12B1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CZ.02.3.68/0.0/0.0/20_082/0023094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9BF444" w14:textId="2A207CA3" w:rsidR="00A929F8" w:rsidRDefault="00A929F8" w:rsidP="0045329C">
      <w:pPr>
        <w:pStyle w:val="Titulek"/>
        <w:keepNext/>
      </w:pPr>
    </w:p>
    <w:p w14:paraId="0F25F81B" w14:textId="191B4421" w:rsidR="00A929F8" w:rsidRDefault="00A929F8" w:rsidP="0045329C">
      <w:pPr>
        <w:pStyle w:val="Titulek"/>
        <w:keepNext/>
      </w:pPr>
    </w:p>
    <w:p w14:paraId="62889084" w14:textId="415228FF" w:rsidR="00A929F8" w:rsidRDefault="00A929F8" w:rsidP="0045329C">
      <w:pPr>
        <w:pStyle w:val="Titulek"/>
        <w:keepNext/>
      </w:pPr>
    </w:p>
    <w:p w14:paraId="701B2BE5" w14:textId="39CED110" w:rsidR="00A929F8" w:rsidRDefault="00A929F8" w:rsidP="0045329C">
      <w:pPr>
        <w:pStyle w:val="Titulek"/>
        <w:keepNext/>
      </w:pPr>
    </w:p>
    <w:p w14:paraId="284F7C7F" w14:textId="4FBE6132" w:rsidR="00A929F8" w:rsidRDefault="00A929F8" w:rsidP="0045329C">
      <w:pPr>
        <w:pStyle w:val="Titulek"/>
        <w:keepNext/>
      </w:pPr>
    </w:p>
    <w:p w14:paraId="053EF9C1" w14:textId="0A46601C" w:rsidR="00A929F8" w:rsidRDefault="00A929F8" w:rsidP="0045329C">
      <w:pPr>
        <w:pStyle w:val="Titulek"/>
        <w:keepNext/>
      </w:pPr>
    </w:p>
    <w:p w14:paraId="0881E949" w14:textId="4CE21B6A" w:rsidR="00A929F8" w:rsidRDefault="00A929F8" w:rsidP="0045329C">
      <w:pPr>
        <w:pStyle w:val="Titulek"/>
        <w:keepNext/>
      </w:pPr>
    </w:p>
    <w:p w14:paraId="607F2D26" w14:textId="6BC68537" w:rsidR="00A929F8" w:rsidRDefault="00A929F8" w:rsidP="0045329C">
      <w:pPr>
        <w:pStyle w:val="Titulek"/>
        <w:keepNext/>
      </w:pPr>
    </w:p>
    <w:p w14:paraId="6C46E33B" w14:textId="39F185AB" w:rsidR="00A929F8" w:rsidRDefault="00692129" w:rsidP="0045329C">
      <w:pPr>
        <w:pStyle w:val="Titulek"/>
        <w:keepNext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2C7E4BE" wp14:editId="6D00F232">
                <wp:simplePos x="0" y="0"/>
                <wp:positionH relativeFrom="column">
                  <wp:posOffset>59690</wp:posOffset>
                </wp:positionH>
                <wp:positionV relativeFrom="paragraph">
                  <wp:posOffset>126093</wp:posOffset>
                </wp:positionV>
                <wp:extent cx="3488055" cy="1404620"/>
                <wp:effectExtent l="0" t="0" r="0" b="190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80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C8F0B" w14:textId="3D12374F" w:rsidR="00AA0D3C" w:rsidRPr="004D4F5C" w:rsidRDefault="00AF2912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 w:rsidRPr="004D4F5C"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>Příloha č. 5</w:t>
                            </w:r>
                          </w:p>
                          <w:p w14:paraId="0BCB62B0" w14:textId="17E2AC9B" w:rsidR="00AF2912" w:rsidRDefault="00AF2912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 w:rsidRPr="004D4F5C"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 xml:space="preserve">Vymezení problémových oblastí </w:t>
                            </w:r>
                            <w:r w:rsidR="00CC2B2E" w:rsidRPr="004D4F5C"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br/>
                            </w:r>
                            <w:r w:rsidRPr="004D4F5C"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>a klíčových problémů – SWOT analýzy</w:t>
                            </w:r>
                          </w:p>
                          <w:p w14:paraId="7D1ACF38" w14:textId="77777777" w:rsidR="00074D11" w:rsidRDefault="00074D11" w:rsidP="00074D11">
                            <w:pPr>
                              <w:spacing w:after="0"/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</w:p>
                          <w:p w14:paraId="11D5C7AF" w14:textId="77777777" w:rsidR="00074D11" w:rsidRDefault="00074D11" w:rsidP="00074D11">
                            <w:pPr>
                              <w:spacing w:after="0"/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</w:p>
                          <w:p w14:paraId="0C0E48F1" w14:textId="46BB9FA6" w:rsidR="00074D11" w:rsidRPr="00074D11" w:rsidRDefault="00074D11" w:rsidP="00074D11">
                            <w:pPr>
                              <w:spacing w:after="0"/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 w:rsidRPr="00074D11">
                              <w:rPr>
                                <w:rFonts w:cstheme="minorHAnsi"/>
                                <w:color w:val="3A5925"/>
                                <w:sz w:val="24"/>
                                <w:szCs w:val="24"/>
                              </w:rPr>
                              <w:t>Schváleno dne 30.11.2023 na 6. zasedání ŘV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C7E4BE" id="_x0000_s1027" type="#_x0000_t202" style="position:absolute;margin-left:4.7pt;margin-top:9.95pt;width:274.6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" stroked="f">
                <v:textbox style="mso-fit-shape-to-text:t">
                  <w:txbxContent>
                    <w:p w14:paraId="12DC8F0B" w14:textId="3D12374F" w:rsidR="00AA0D3C" w:rsidRPr="004D4F5C" w:rsidRDefault="00AF2912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 w:rsidRPr="004D4F5C"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>Příloha č. 5</w:t>
                      </w:r>
                    </w:p>
                    <w:p w14:paraId="0BCB62B0" w14:textId="17E2AC9B" w:rsidR="00AF2912" w:rsidRDefault="00AF2912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 w:rsidRPr="004D4F5C"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 xml:space="preserve">Vymezení problémových oblastí </w:t>
                      </w:r>
                      <w:r w:rsidR="00CC2B2E" w:rsidRPr="004D4F5C"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br/>
                      </w:r>
                      <w:r w:rsidRPr="004D4F5C"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>a klíčových problémů – SWOT analýzy</w:t>
                      </w:r>
                    </w:p>
                    <w:p w14:paraId="7D1ACF38" w14:textId="77777777" w:rsidR="00074D11" w:rsidRDefault="00074D11" w:rsidP="00074D11">
                      <w:pPr>
                        <w:spacing w:after="0"/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</w:p>
                    <w:p w14:paraId="11D5C7AF" w14:textId="77777777" w:rsidR="00074D11" w:rsidRDefault="00074D11" w:rsidP="00074D11">
                      <w:pPr>
                        <w:spacing w:after="0"/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</w:p>
                    <w:p w14:paraId="0C0E48F1" w14:textId="46BB9FA6" w:rsidR="00074D11" w:rsidRPr="00074D11" w:rsidRDefault="00074D11" w:rsidP="00074D11">
                      <w:pPr>
                        <w:spacing w:after="0"/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 w:rsidRPr="00074D11">
                        <w:rPr>
                          <w:rFonts w:cstheme="minorHAnsi"/>
                          <w:color w:val="3A5925"/>
                          <w:sz w:val="24"/>
                          <w:szCs w:val="24"/>
                        </w:rPr>
                        <w:t>Schváleno dne 30.11.2023 na 6. zasedání ŘV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37D538" w14:textId="1AF8C7E6" w:rsidR="00A929F8" w:rsidRDefault="00A929F8" w:rsidP="0045329C">
      <w:pPr>
        <w:pStyle w:val="Titulek"/>
        <w:keepNext/>
      </w:pPr>
    </w:p>
    <w:p w14:paraId="004FC625" w14:textId="77777777" w:rsidR="00A929F8" w:rsidRDefault="00A929F8" w:rsidP="0045329C">
      <w:pPr>
        <w:pStyle w:val="Titulek"/>
        <w:keepNext/>
      </w:pPr>
    </w:p>
    <w:p w14:paraId="023717AC" w14:textId="683FD884" w:rsidR="00A929F8" w:rsidRDefault="00A929F8" w:rsidP="0045329C">
      <w:pPr>
        <w:pStyle w:val="Titulek"/>
        <w:keepNext/>
      </w:pPr>
    </w:p>
    <w:p w14:paraId="3F65C632" w14:textId="393B366E" w:rsidR="00A929F8" w:rsidRDefault="00A929F8" w:rsidP="0045329C">
      <w:pPr>
        <w:pStyle w:val="Titulek"/>
        <w:keepNext/>
      </w:pPr>
    </w:p>
    <w:p w14:paraId="1B2F073C" w14:textId="6BB904E1" w:rsidR="00A929F8" w:rsidRDefault="00A929F8" w:rsidP="0045329C">
      <w:pPr>
        <w:pStyle w:val="Titulek"/>
        <w:keepNext/>
      </w:pPr>
    </w:p>
    <w:p w14:paraId="757282C9" w14:textId="77777777" w:rsidR="00A929F8" w:rsidRDefault="00A929F8" w:rsidP="0045329C">
      <w:pPr>
        <w:pStyle w:val="Titulek"/>
        <w:keepNext/>
      </w:pPr>
    </w:p>
    <w:p w14:paraId="1E10BEE8" w14:textId="729951E9" w:rsidR="00A929F8" w:rsidRDefault="00A929F8" w:rsidP="0045329C">
      <w:pPr>
        <w:pStyle w:val="Titulek"/>
        <w:keepNext/>
      </w:pPr>
    </w:p>
    <w:p w14:paraId="42745684" w14:textId="32BE5D91" w:rsidR="00A929F8" w:rsidRDefault="00A929F8" w:rsidP="0045329C">
      <w:pPr>
        <w:pStyle w:val="Titulek"/>
        <w:keepNext/>
      </w:pPr>
    </w:p>
    <w:p w14:paraId="09D813E1" w14:textId="77777777" w:rsidR="00A929F8" w:rsidRDefault="00A929F8" w:rsidP="0045329C">
      <w:pPr>
        <w:pStyle w:val="Titulek"/>
        <w:keepNext/>
      </w:pPr>
    </w:p>
    <w:p w14:paraId="4A06963C" w14:textId="77777777" w:rsidR="00A929F8" w:rsidRDefault="00A929F8" w:rsidP="0045329C">
      <w:pPr>
        <w:pStyle w:val="Titulek"/>
        <w:keepNext/>
      </w:pPr>
    </w:p>
    <w:p w14:paraId="145891DE" w14:textId="5E90FD3D" w:rsidR="00A929F8" w:rsidRDefault="00A929F8" w:rsidP="0045329C">
      <w:pPr>
        <w:pStyle w:val="Titulek"/>
        <w:keepNext/>
      </w:pPr>
    </w:p>
    <w:p w14:paraId="58B89378" w14:textId="1B3A45D7" w:rsidR="00A929F8" w:rsidRDefault="00A929F8" w:rsidP="0045329C">
      <w:pPr>
        <w:pStyle w:val="Titulek"/>
        <w:keepNext/>
      </w:pPr>
    </w:p>
    <w:p w14:paraId="2504ED1E" w14:textId="695DF129" w:rsidR="00A929F8" w:rsidRDefault="00A929F8" w:rsidP="0045329C">
      <w:pPr>
        <w:pStyle w:val="Titulek"/>
        <w:keepNext/>
      </w:pPr>
    </w:p>
    <w:p w14:paraId="51F06048" w14:textId="11F39C86" w:rsidR="00A929F8" w:rsidRDefault="00356C17" w:rsidP="0045329C">
      <w:pPr>
        <w:pStyle w:val="Titulek"/>
        <w:keepNext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B319640" wp14:editId="6C457526">
            <wp:simplePos x="0" y="0"/>
            <wp:positionH relativeFrom="column">
              <wp:posOffset>231775</wp:posOffset>
            </wp:positionH>
            <wp:positionV relativeFrom="paragraph">
              <wp:posOffset>617855</wp:posOffset>
            </wp:positionV>
            <wp:extent cx="1715911" cy="250077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911" cy="250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96C06" w14:textId="195DA2EB" w:rsidR="0045329C" w:rsidRPr="00626CCC" w:rsidRDefault="0045329C" w:rsidP="0045329C">
      <w:pPr>
        <w:pStyle w:val="Titulek"/>
        <w:keepNext/>
        <w:rPr>
          <w:rFonts w:asciiTheme="majorHAnsi" w:hAnsiTheme="majorHAnsi" w:cstheme="majorHAnsi"/>
          <w:color w:val="538135" w:themeColor="accent6" w:themeShade="BF"/>
          <w:sz w:val="28"/>
          <w:szCs w:val="28"/>
        </w:rPr>
      </w:pPr>
      <w:r w:rsidRPr="00626CCC">
        <w:rPr>
          <w:rFonts w:asciiTheme="majorHAnsi" w:hAnsiTheme="majorHAnsi" w:cstheme="majorHAnsi"/>
          <w:color w:val="538135" w:themeColor="accent6" w:themeShade="BF"/>
          <w:sz w:val="28"/>
          <w:szCs w:val="28"/>
        </w:rPr>
        <w:lastRenderedPageBreak/>
        <w:t>SWOT</w:t>
      </w:r>
      <w:r w:rsidRPr="00626CCC">
        <w:rPr>
          <w:rFonts w:asciiTheme="majorHAnsi" w:hAnsiTheme="majorHAnsi" w:cstheme="majorHAnsi"/>
          <w:noProof/>
          <w:color w:val="538135" w:themeColor="accent6" w:themeShade="BF"/>
          <w:sz w:val="28"/>
          <w:szCs w:val="28"/>
        </w:rPr>
        <w:t xml:space="preserve"> ANALÝZA Pracovní skupina pro rozvoj čtenářské gramotnosti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7"/>
        <w:gridCol w:w="4337"/>
      </w:tblGrid>
      <w:tr w:rsidR="009B57EA" w:rsidRPr="005D73DA" w14:paraId="4548AA67" w14:textId="77777777" w:rsidTr="00C43223">
        <w:trPr>
          <w:trHeight w:val="722"/>
        </w:trPr>
        <w:tc>
          <w:tcPr>
            <w:tcW w:w="4337" w:type="dxa"/>
            <w:shd w:val="clear" w:color="auto" w:fill="E2EFD9" w:themeFill="accent6" w:themeFillTint="33"/>
          </w:tcPr>
          <w:p w14:paraId="1CC7EBF1" w14:textId="6693EE14" w:rsidR="009B57EA" w:rsidRPr="005D73DA" w:rsidRDefault="009B57EA" w:rsidP="009B57EA">
            <w:pPr>
              <w:rPr>
                <w:rFonts w:asciiTheme="majorHAnsi" w:hAnsiTheme="majorHAnsi" w:cstheme="majorHAnsi"/>
                <w:u w:val="single"/>
              </w:rPr>
            </w:pPr>
            <w:bookmarkStart w:id="0" w:name="_Hlk111565964"/>
            <w:r w:rsidRPr="005D73DA">
              <w:rPr>
                <w:rFonts w:asciiTheme="majorHAnsi" w:hAnsiTheme="majorHAnsi" w:cstheme="majorHAnsi"/>
                <w:u w:val="single"/>
              </w:rPr>
              <w:t xml:space="preserve">Silné stránky </w:t>
            </w:r>
          </w:p>
          <w:p w14:paraId="3CB32C6E" w14:textId="179EC7A1" w:rsidR="009B57EA" w:rsidRPr="005D73DA" w:rsidRDefault="009B57EA" w:rsidP="009B57EA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1 </w:t>
            </w:r>
            <w:r w:rsidR="004655F3" w:rsidRPr="005D73DA">
              <w:rPr>
                <w:rFonts w:asciiTheme="majorHAnsi" w:hAnsiTheme="majorHAnsi" w:cstheme="majorHAnsi"/>
              </w:rPr>
              <w:t>Návaznost na aktivity z minulého období</w:t>
            </w:r>
            <w:r w:rsidRPr="005D73DA">
              <w:rPr>
                <w:rFonts w:asciiTheme="majorHAnsi" w:hAnsiTheme="majorHAnsi" w:cstheme="majorHAnsi"/>
              </w:rPr>
              <w:t xml:space="preserve"> </w:t>
            </w:r>
          </w:p>
          <w:p w14:paraId="40BC546C" w14:textId="295D6E7A" w:rsidR="002F12B1" w:rsidRDefault="009B57EA" w:rsidP="002F12B1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2 </w:t>
            </w:r>
            <w:r w:rsidR="002F12B1">
              <w:rPr>
                <w:rFonts w:asciiTheme="majorHAnsi" w:hAnsiTheme="majorHAnsi" w:cstheme="majorHAnsi"/>
              </w:rPr>
              <w:t>Využití zkušeností pedagogů s ČG</w:t>
            </w:r>
          </w:p>
          <w:p w14:paraId="21178BA8" w14:textId="4283ABF1" w:rsidR="002F12B1" w:rsidRDefault="002F12B1" w:rsidP="002F12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Zavádění nových metod do výuky (Metody kritického myšlení)</w:t>
            </w:r>
          </w:p>
          <w:p w14:paraId="44580A31" w14:textId="1A4999D1" w:rsidR="002F12B1" w:rsidRPr="005D73DA" w:rsidRDefault="002F12B1" w:rsidP="002F12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 Využití IT</w:t>
            </w:r>
          </w:p>
          <w:p w14:paraId="13FF929F" w14:textId="395A5816" w:rsidR="00B0521D" w:rsidRPr="005D73DA" w:rsidRDefault="00B0521D" w:rsidP="009B57E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337" w:type="dxa"/>
          </w:tcPr>
          <w:p w14:paraId="4EA89A01" w14:textId="77777777" w:rsidR="009B57EA" w:rsidRPr="005D73DA" w:rsidRDefault="009B57EA" w:rsidP="009B57EA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Slabé stránky </w:t>
            </w:r>
          </w:p>
          <w:p w14:paraId="7F1A03F9" w14:textId="1F66AC5F" w:rsidR="009B57EA" w:rsidRPr="005D73DA" w:rsidRDefault="002F12B1" w:rsidP="009B57E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9B57EA" w:rsidRPr="005D73DA">
              <w:rPr>
                <w:rFonts w:asciiTheme="majorHAnsi" w:hAnsiTheme="majorHAnsi" w:cstheme="majorHAnsi"/>
              </w:rPr>
              <w:t xml:space="preserve"> </w:t>
            </w:r>
            <w:r w:rsidR="00A7209B" w:rsidRPr="005D73DA">
              <w:rPr>
                <w:rFonts w:asciiTheme="majorHAnsi" w:hAnsiTheme="majorHAnsi" w:cstheme="majorHAnsi"/>
              </w:rPr>
              <w:t>Přepracovanost a časová vytíženost pedagogů</w:t>
            </w:r>
          </w:p>
          <w:p w14:paraId="24176184" w14:textId="7B88BFCA" w:rsidR="009B57EA" w:rsidRPr="005D73DA" w:rsidRDefault="00C92AD0" w:rsidP="009B57E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9B57EA" w:rsidRPr="005D73DA">
              <w:rPr>
                <w:rFonts w:asciiTheme="majorHAnsi" w:hAnsiTheme="majorHAnsi" w:cstheme="majorHAnsi"/>
              </w:rPr>
              <w:t xml:space="preserve"> </w:t>
            </w:r>
            <w:r w:rsidR="00C22F5E" w:rsidRPr="005D73DA">
              <w:rPr>
                <w:rFonts w:asciiTheme="majorHAnsi" w:hAnsiTheme="majorHAnsi" w:cstheme="majorHAnsi"/>
              </w:rPr>
              <w:t>Ztížená spolupráce s</w:t>
            </w:r>
            <w:r w:rsidR="002F12B1">
              <w:rPr>
                <w:rFonts w:asciiTheme="majorHAnsi" w:hAnsiTheme="majorHAnsi" w:cstheme="majorHAnsi"/>
              </w:rPr>
              <w:t> dalšími organizacemi</w:t>
            </w:r>
          </w:p>
          <w:p w14:paraId="3004DABF" w14:textId="58B9E86A" w:rsidR="009B57EA" w:rsidRPr="005D73DA" w:rsidRDefault="00C92AD0" w:rsidP="009B57E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9B57EA" w:rsidRPr="005D73DA">
              <w:rPr>
                <w:rFonts w:asciiTheme="majorHAnsi" w:hAnsiTheme="majorHAnsi" w:cstheme="majorHAnsi"/>
              </w:rPr>
              <w:t xml:space="preserve"> </w:t>
            </w:r>
            <w:r w:rsidR="00C22F5E" w:rsidRPr="005D73DA">
              <w:rPr>
                <w:rFonts w:asciiTheme="majorHAnsi" w:hAnsiTheme="majorHAnsi" w:cstheme="majorHAnsi"/>
              </w:rPr>
              <w:t>Finanční náročnost</w:t>
            </w:r>
          </w:p>
        </w:tc>
      </w:tr>
      <w:tr w:rsidR="009B57EA" w:rsidRPr="005D73DA" w14:paraId="0A223092" w14:textId="77777777" w:rsidTr="00C43223">
        <w:trPr>
          <w:trHeight w:val="966"/>
        </w:trPr>
        <w:tc>
          <w:tcPr>
            <w:tcW w:w="4337" w:type="dxa"/>
          </w:tcPr>
          <w:p w14:paraId="0FBE032B" w14:textId="337E6ECE" w:rsidR="009B57EA" w:rsidRPr="005D73DA" w:rsidRDefault="009B57EA" w:rsidP="009B57EA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Příležitosti </w:t>
            </w:r>
          </w:p>
          <w:p w14:paraId="078C429F" w14:textId="190DFAF2" w:rsidR="009B57EA" w:rsidRPr="005D73DA" w:rsidRDefault="009B57EA" w:rsidP="009B57EA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1 </w:t>
            </w:r>
            <w:r w:rsidR="004B607F" w:rsidRPr="005D73DA">
              <w:rPr>
                <w:rFonts w:asciiTheme="majorHAnsi" w:hAnsiTheme="majorHAnsi" w:cstheme="majorHAnsi"/>
              </w:rPr>
              <w:t>Setkávání a výměna zkušeností pedagogů</w:t>
            </w:r>
          </w:p>
          <w:p w14:paraId="480E238B" w14:textId="6BDF6CBF" w:rsidR="004B607F" w:rsidRPr="005D73DA" w:rsidRDefault="009B57EA" w:rsidP="009B57EA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2 </w:t>
            </w:r>
            <w:r w:rsidR="002F12B1">
              <w:rPr>
                <w:rFonts w:asciiTheme="majorHAnsi" w:hAnsiTheme="majorHAnsi" w:cstheme="majorHAnsi"/>
              </w:rPr>
              <w:t>Udržitelnost aktivit</w:t>
            </w:r>
          </w:p>
          <w:p w14:paraId="5D3BCDBE" w14:textId="497ABACA" w:rsidR="009B57EA" w:rsidRPr="005D73DA" w:rsidRDefault="009B57EA" w:rsidP="009B57EA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3 </w:t>
            </w:r>
            <w:r w:rsidR="004B607F" w:rsidRPr="005D73DA">
              <w:rPr>
                <w:rFonts w:asciiTheme="majorHAnsi" w:hAnsiTheme="majorHAnsi" w:cstheme="majorHAnsi"/>
              </w:rPr>
              <w:t>Zapojení dalších organizací (subjektů)</w:t>
            </w:r>
          </w:p>
          <w:p w14:paraId="18E32DFE" w14:textId="2C24D9C5" w:rsidR="004B607F" w:rsidRPr="005D73DA" w:rsidRDefault="004B607F" w:rsidP="009B57EA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4 </w:t>
            </w:r>
            <w:r w:rsidR="002F12B1">
              <w:rPr>
                <w:rFonts w:asciiTheme="majorHAnsi" w:hAnsiTheme="majorHAnsi" w:cstheme="majorHAnsi"/>
              </w:rPr>
              <w:t>Spolupráce pracovních skupin MAP III</w:t>
            </w:r>
          </w:p>
        </w:tc>
        <w:tc>
          <w:tcPr>
            <w:tcW w:w="4337" w:type="dxa"/>
            <w:shd w:val="clear" w:color="auto" w:fill="E2EFD9" w:themeFill="accent6" w:themeFillTint="33"/>
          </w:tcPr>
          <w:p w14:paraId="5E6831BA" w14:textId="77777777" w:rsidR="009B57EA" w:rsidRPr="005D73DA" w:rsidRDefault="009B57EA" w:rsidP="009B57EA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Hrozby </w:t>
            </w:r>
          </w:p>
          <w:p w14:paraId="2310B103" w14:textId="2632AC90" w:rsidR="009B57EA" w:rsidRPr="005D73DA" w:rsidRDefault="002F12B1" w:rsidP="009B57E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9B57EA" w:rsidRPr="005D73DA">
              <w:rPr>
                <w:rFonts w:asciiTheme="majorHAnsi" w:hAnsiTheme="majorHAnsi" w:cstheme="majorHAnsi"/>
              </w:rPr>
              <w:t xml:space="preserve"> </w:t>
            </w:r>
            <w:r w:rsidR="0049648A" w:rsidRPr="005D73DA">
              <w:rPr>
                <w:rFonts w:asciiTheme="majorHAnsi" w:hAnsiTheme="majorHAnsi" w:cstheme="majorHAnsi"/>
              </w:rPr>
              <w:t>Nesprávné využívání IT ve výuce</w:t>
            </w:r>
          </w:p>
          <w:p w14:paraId="7A97BA52" w14:textId="77777777" w:rsidR="009B57EA" w:rsidRDefault="002F12B1" w:rsidP="009B57E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9B57EA" w:rsidRPr="005D73DA">
              <w:rPr>
                <w:rFonts w:asciiTheme="majorHAnsi" w:hAnsiTheme="majorHAnsi" w:cstheme="majorHAnsi"/>
              </w:rPr>
              <w:t xml:space="preserve"> </w:t>
            </w:r>
            <w:r w:rsidR="0049648A" w:rsidRPr="005D73DA">
              <w:rPr>
                <w:rFonts w:asciiTheme="majorHAnsi" w:hAnsiTheme="majorHAnsi" w:cstheme="majorHAnsi"/>
              </w:rPr>
              <w:t>Překážky ve spolupráci s dalšími organizacemi (subjekty)</w:t>
            </w:r>
            <w:r w:rsidR="009B57EA" w:rsidRPr="005D73DA">
              <w:rPr>
                <w:rFonts w:asciiTheme="majorHAnsi" w:hAnsiTheme="majorHAnsi" w:cstheme="majorHAnsi"/>
              </w:rPr>
              <w:t xml:space="preserve"> </w:t>
            </w:r>
          </w:p>
          <w:p w14:paraId="727EEB9F" w14:textId="27558FA5" w:rsidR="002F12B1" w:rsidRPr="005D73DA" w:rsidRDefault="002F12B1" w:rsidP="009B57E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Zavedený systém a uplatňování inkluze</w:t>
            </w:r>
          </w:p>
        </w:tc>
      </w:tr>
      <w:bookmarkEnd w:id="0"/>
    </w:tbl>
    <w:p w14:paraId="2232F365" w14:textId="6141870E" w:rsidR="00AF5CE1" w:rsidRPr="005D73DA" w:rsidRDefault="00AF5CE1">
      <w:pPr>
        <w:rPr>
          <w:rFonts w:asciiTheme="majorHAnsi" w:hAnsiTheme="majorHAnsi" w:cstheme="majorHAnsi"/>
        </w:rPr>
      </w:pPr>
    </w:p>
    <w:p w14:paraId="10CAB03D" w14:textId="56B60397" w:rsidR="00271801" w:rsidRPr="00626CCC" w:rsidRDefault="00271801" w:rsidP="00271801">
      <w:pPr>
        <w:pStyle w:val="Titulek"/>
        <w:keepNext/>
        <w:rPr>
          <w:rFonts w:asciiTheme="majorHAnsi" w:hAnsiTheme="majorHAnsi" w:cstheme="majorHAnsi"/>
          <w:color w:val="538135" w:themeColor="accent6" w:themeShade="BF"/>
          <w:sz w:val="28"/>
          <w:szCs w:val="28"/>
        </w:rPr>
      </w:pPr>
      <w:r w:rsidRPr="00626CCC">
        <w:rPr>
          <w:rFonts w:asciiTheme="majorHAnsi" w:hAnsiTheme="majorHAnsi" w:cstheme="majorHAnsi"/>
          <w:color w:val="538135" w:themeColor="accent6" w:themeShade="BF"/>
          <w:sz w:val="28"/>
          <w:szCs w:val="28"/>
        </w:rPr>
        <w:t>SWOT ANALÝZA Pracovní skupina pro financování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7"/>
        <w:gridCol w:w="4337"/>
      </w:tblGrid>
      <w:tr w:rsidR="00FE4A50" w:rsidRPr="005D73DA" w14:paraId="357A12BF" w14:textId="77777777" w:rsidTr="00BC111D">
        <w:trPr>
          <w:trHeight w:val="722"/>
        </w:trPr>
        <w:tc>
          <w:tcPr>
            <w:tcW w:w="4337" w:type="dxa"/>
            <w:shd w:val="clear" w:color="auto" w:fill="E2EFD9" w:themeFill="accent6" w:themeFillTint="33"/>
          </w:tcPr>
          <w:p w14:paraId="38702663" w14:textId="77777777" w:rsidR="00FE4A50" w:rsidRPr="005D73DA" w:rsidRDefault="00FE4A50" w:rsidP="005065B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Silné stránky </w:t>
            </w:r>
          </w:p>
          <w:p w14:paraId="417D82E6" w14:textId="51AAEB4D" w:rsidR="00FE4A50" w:rsidRPr="005D73DA" w:rsidRDefault="00FE4A50" w:rsidP="005065BD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1 Flexibilita </w:t>
            </w:r>
          </w:p>
          <w:p w14:paraId="071390B8" w14:textId="75F52BF7" w:rsidR="00FE4A50" w:rsidRPr="005D73DA" w:rsidRDefault="00FE4A50" w:rsidP="005065BD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>2 Kvalitní lidé</w:t>
            </w:r>
          </w:p>
          <w:p w14:paraId="14A38A2F" w14:textId="32AB752A" w:rsidR="00FE4A50" w:rsidRPr="005D73DA" w:rsidRDefault="00FE4A50" w:rsidP="005065BD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>3 Finance spojené s</w:t>
            </w:r>
            <w:r w:rsidR="002F12B1">
              <w:rPr>
                <w:rFonts w:asciiTheme="majorHAnsi" w:hAnsiTheme="majorHAnsi" w:cstheme="majorHAnsi"/>
              </w:rPr>
              <w:t> </w:t>
            </w:r>
            <w:r w:rsidRPr="005D73DA">
              <w:rPr>
                <w:rFonts w:asciiTheme="majorHAnsi" w:hAnsiTheme="majorHAnsi" w:cstheme="majorHAnsi"/>
              </w:rPr>
              <w:t>inkluzí</w:t>
            </w:r>
            <w:r w:rsidR="002F12B1">
              <w:rPr>
                <w:rFonts w:asciiTheme="majorHAnsi" w:hAnsiTheme="majorHAnsi" w:cstheme="majorHAnsi"/>
              </w:rPr>
              <w:t xml:space="preserve"> – možnost financovat ze Šablon, změny ve financování škol</w:t>
            </w:r>
          </w:p>
          <w:p w14:paraId="60F8EE69" w14:textId="41152C33" w:rsidR="00FE4A50" w:rsidRPr="005D73DA" w:rsidRDefault="00FE4A50" w:rsidP="005065BD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>4 Vztahy se zřizovatelem</w:t>
            </w:r>
          </w:p>
          <w:p w14:paraId="48DF1AF8" w14:textId="2D9AEFE7" w:rsidR="00FE4A50" w:rsidRPr="005D73DA" w:rsidRDefault="00FE4A50" w:rsidP="005065BD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>5 Zavádění moderních/alternativních metod</w:t>
            </w:r>
          </w:p>
        </w:tc>
        <w:tc>
          <w:tcPr>
            <w:tcW w:w="4337" w:type="dxa"/>
          </w:tcPr>
          <w:p w14:paraId="321A7A5B" w14:textId="77777777" w:rsidR="00FE4A50" w:rsidRPr="005D73DA" w:rsidRDefault="00FE4A50" w:rsidP="005065B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Slabé stránky </w:t>
            </w:r>
          </w:p>
          <w:p w14:paraId="3CD4BBDE" w14:textId="4A3CC30D" w:rsidR="00FE4A50" w:rsidRPr="005D73DA" w:rsidRDefault="00FE4A50" w:rsidP="005065BD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>1 Rostoucí náklady</w:t>
            </w:r>
            <w:r w:rsidR="002F12B1">
              <w:rPr>
                <w:rFonts w:asciiTheme="majorHAnsi" w:hAnsiTheme="majorHAnsi" w:cstheme="majorHAnsi"/>
              </w:rPr>
              <w:t xml:space="preserve"> – zdražování energií, služeb</w:t>
            </w:r>
          </w:p>
          <w:p w14:paraId="48380013" w14:textId="1ADB1DA3" w:rsidR="002F12B1" w:rsidRDefault="00FE4A50" w:rsidP="002F12B1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2 </w:t>
            </w:r>
            <w:r w:rsidR="002F12B1">
              <w:rPr>
                <w:rFonts w:asciiTheme="majorHAnsi" w:hAnsiTheme="majorHAnsi" w:cstheme="majorHAnsi"/>
              </w:rPr>
              <w:t>Dlouhotrvající proces změny myšlení lidí pracujících ve školství</w:t>
            </w:r>
          </w:p>
          <w:p w14:paraId="198F7E8B" w14:textId="7AA2664A" w:rsidR="002F12B1" w:rsidRDefault="002F12B1" w:rsidP="002F12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N</w:t>
            </w:r>
            <w:r w:rsidRPr="002F12B1">
              <w:rPr>
                <w:rFonts w:asciiTheme="majorHAnsi" w:hAnsiTheme="majorHAnsi" w:cstheme="majorHAnsi"/>
              </w:rPr>
              <w:t>edostatek financí na obnovení a modernizaci výukových pomůcek</w:t>
            </w:r>
          </w:p>
          <w:p w14:paraId="7AE499CB" w14:textId="43BFFA6C" w:rsidR="002F12B1" w:rsidRDefault="002F12B1" w:rsidP="002F12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 Nedostatek financí na mzdy pro zkvalitnění výuky, velmi nízké laty pro nepedagogické pracovníky</w:t>
            </w:r>
          </w:p>
          <w:p w14:paraId="7F16E5FE" w14:textId="176D9A22" w:rsidR="003224F1" w:rsidRDefault="003224F1" w:rsidP="002F12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 N</w:t>
            </w:r>
            <w:r w:rsidRPr="003224F1">
              <w:rPr>
                <w:rFonts w:asciiTheme="majorHAnsi" w:hAnsiTheme="majorHAnsi" w:cstheme="majorHAnsi"/>
              </w:rPr>
              <w:t>eustálé, nekoncepční změny, které nejsou dobře komunikovány s</w:t>
            </w:r>
            <w:r>
              <w:rPr>
                <w:rFonts w:asciiTheme="majorHAnsi" w:hAnsiTheme="majorHAnsi" w:cstheme="majorHAnsi"/>
              </w:rPr>
              <w:t> </w:t>
            </w:r>
            <w:r w:rsidRPr="003224F1">
              <w:rPr>
                <w:rFonts w:asciiTheme="majorHAnsi" w:hAnsiTheme="majorHAnsi" w:cstheme="majorHAnsi"/>
              </w:rPr>
              <w:t>pedagogy</w:t>
            </w:r>
          </w:p>
          <w:p w14:paraId="034668B8" w14:textId="6D6DDE41" w:rsidR="003224F1" w:rsidRDefault="003224F1" w:rsidP="002F12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 N</w:t>
            </w:r>
            <w:r w:rsidRPr="003224F1">
              <w:rPr>
                <w:rFonts w:asciiTheme="majorHAnsi" w:hAnsiTheme="majorHAnsi" w:cstheme="majorHAnsi"/>
              </w:rPr>
              <w:t xml:space="preserve">edostatek finančních prostředků v ONIV </w:t>
            </w:r>
            <w:r>
              <w:rPr>
                <w:rFonts w:asciiTheme="majorHAnsi" w:hAnsiTheme="majorHAnsi" w:cstheme="majorHAnsi"/>
              </w:rPr>
              <w:br/>
            </w:r>
            <w:r w:rsidRPr="003224F1">
              <w:rPr>
                <w:rFonts w:asciiTheme="majorHAnsi" w:hAnsiTheme="majorHAnsi" w:cstheme="majorHAnsi"/>
              </w:rPr>
              <w:t>z důvodu nemocenské</w:t>
            </w:r>
          </w:p>
          <w:p w14:paraId="0056B826" w14:textId="0BB7FA32" w:rsidR="002F12B1" w:rsidRPr="005D73DA" w:rsidRDefault="003224F1" w:rsidP="002F12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 S</w:t>
            </w:r>
            <w:r w:rsidRPr="003224F1">
              <w:rPr>
                <w:rFonts w:asciiTheme="majorHAnsi" w:hAnsiTheme="majorHAnsi" w:cstheme="majorHAnsi"/>
              </w:rPr>
              <w:t xml:space="preserve">ložitý systém získávání peněz z výzev IROP na opravy škol </w:t>
            </w:r>
            <w:r w:rsidR="005E06F1">
              <w:rPr>
                <w:rFonts w:asciiTheme="majorHAnsi" w:hAnsiTheme="majorHAnsi" w:cstheme="majorHAnsi"/>
              </w:rPr>
              <w:t>–</w:t>
            </w:r>
            <w:r w:rsidRPr="003224F1">
              <w:rPr>
                <w:rFonts w:asciiTheme="majorHAnsi" w:hAnsiTheme="majorHAnsi" w:cstheme="majorHAnsi"/>
              </w:rPr>
              <w:t xml:space="preserve"> určitě by bylo jednodušší, kdyby na standard ve školách byly poskytovány finanční příspěvky jako např. na digitalizaci.</w:t>
            </w:r>
          </w:p>
          <w:p w14:paraId="51D36297" w14:textId="3E752041" w:rsidR="00FE4A50" w:rsidRPr="005D73DA" w:rsidRDefault="00FE4A50" w:rsidP="005065BD">
            <w:pPr>
              <w:rPr>
                <w:rFonts w:asciiTheme="majorHAnsi" w:hAnsiTheme="majorHAnsi" w:cstheme="majorHAnsi"/>
              </w:rPr>
            </w:pPr>
          </w:p>
        </w:tc>
      </w:tr>
      <w:tr w:rsidR="00FE4A50" w:rsidRPr="005D73DA" w14:paraId="3D2003E3" w14:textId="77777777" w:rsidTr="00BC111D">
        <w:trPr>
          <w:trHeight w:val="966"/>
        </w:trPr>
        <w:tc>
          <w:tcPr>
            <w:tcW w:w="4337" w:type="dxa"/>
          </w:tcPr>
          <w:p w14:paraId="272E05B3" w14:textId="2E18DB08" w:rsidR="00FE4A50" w:rsidRPr="005D73DA" w:rsidRDefault="00FE4A50" w:rsidP="005065B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lastRenderedPageBreak/>
              <w:t xml:space="preserve">Příležitosti </w:t>
            </w:r>
          </w:p>
          <w:p w14:paraId="3AD53B70" w14:textId="33733EE0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Pr="00B9293B">
              <w:rPr>
                <w:rFonts w:asciiTheme="majorHAnsi" w:hAnsiTheme="majorHAnsi" w:cstheme="majorHAnsi"/>
              </w:rPr>
              <w:t xml:space="preserve">otace </w:t>
            </w:r>
            <w:r w:rsidR="005E06F1">
              <w:rPr>
                <w:rFonts w:asciiTheme="majorHAnsi" w:hAnsiTheme="majorHAnsi" w:cstheme="majorHAnsi"/>
              </w:rPr>
              <w:t>–</w:t>
            </w:r>
            <w:r w:rsidRPr="00B9293B">
              <w:rPr>
                <w:rFonts w:asciiTheme="majorHAnsi" w:hAnsiTheme="majorHAnsi" w:cstheme="majorHAnsi"/>
              </w:rPr>
              <w:t xml:space="preserve"> IROP, granty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215602C5" w14:textId="3D5CC6E5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N</w:t>
            </w:r>
            <w:r w:rsidRPr="00B9293B">
              <w:rPr>
                <w:rFonts w:asciiTheme="majorHAnsi" w:hAnsiTheme="majorHAnsi" w:cstheme="majorHAnsi"/>
              </w:rPr>
              <w:t>ový způsob financování škol i neziskových organizací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7BB4F330" w14:textId="583217E0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S</w:t>
            </w:r>
            <w:r w:rsidRPr="00B9293B">
              <w:rPr>
                <w:rFonts w:asciiTheme="majorHAnsi" w:hAnsiTheme="majorHAnsi" w:cstheme="majorHAnsi"/>
              </w:rPr>
              <w:t xml:space="preserve">polupráce se "středním článkem" MŠMT </w:t>
            </w:r>
            <w:r w:rsidR="005E06F1">
              <w:rPr>
                <w:rFonts w:asciiTheme="majorHAnsi" w:hAnsiTheme="majorHAnsi" w:cstheme="majorHAnsi"/>
              </w:rPr>
              <w:t>–</w:t>
            </w:r>
            <w:r w:rsidRPr="00B9293B">
              <w:rPr>
                <w:rFonts w:asciiTheme="majorHAnsi" w:hAnsiTheme="majorHAnsi" w:cstheme="majorHAnsi"/>
              </w:rPr>
              <w:t xml:space="preserve"> aktuální informace, okamžitá pomoc, vydávání metodik pro vedoucí pracovníky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67E27E68" w14:textId="2CD598D2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V</w:t>
            </w:r>
            <w:r w:rsidRPr="00B9293B">
              <w:rPr>
                <w:rFonts w:asciiTheme="majorHAnsi" w:hAnsiTheme="majorHAnsi" w:cstheme="majorHAnsi"/>
              </w:rPr>
              <w:t>yužití spolupráce v MAP k naplňování Strategie 2030+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6F2D0A39" w14:textId="422F66CC" w:rsidR="00FE4A50" w:rsidRPr="005D73DA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V</w:t>
            </w:r>
            <w:r w:rsidRPr="00B9293B">
              <w:rPr>
                <w:rFonts w:asciiTheme="majorHAnsi" w:hAnsiTheme="majorHAnsi" w:cstheme="majorHAnsi"/>
              </w:rPr>
              <w:t>yužití spolupráce v rámci projektu SYPO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4337" w:type="dxa"/>
            <w:shd w:val="clear" w:color="auto" w:fill="E2EFD9" w:themeFill="accent6" w:themeFillTint="33"/>
          </w:tcPr>
          <w:p w14:paraId="2DEE299D" w14:textId="77777777" w:rsidR="00FE4A50" w:rsidRPr="005D73DA" w:rsidRDefault="00FE4A50" w:rsidP="005065B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Hrozby </w:t>
            </w:r>
          </w:p>
          <w:p w14:paraId="6720FBFD" w14:textId="1089D29A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Ú</w:t>
            </w:r>
            <w:r w:rsidRPr="00B9293B">
              <w:rPr>
                <w:rFonts w:asciiTheme="majorHAnsi" w:hAnsiTheme="majorHAnsi" w:cstheme="majorHAnsi"/>
              </w:rPr>
              <w:t>čelovost dotací neodpovídá potřebám</w:t>
            </w:r>
          </w:p>
          <w:p w14:paraId="776FFCDD" w14:textId="0BD13433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Z</w:t>
            </w:r>
            <w:r w:rsidRPr="00B9293B">
              <w:rPr>
                <w:rFonts w:asciiTheme="majorHAnsi" w:hAnsiTheme="majorHAnsi" w:cstheme="majorHAnsi"/>
              </w:rPr>
              <w:t>vyšující se náklady související se zvyšujícími se cenami za energie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1E448FF7" w14:textId="64168690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V</w:t>
            </w:r>
            <w:r w:rsidRPr="00B9293B">
              <w:rPr>
                <w:rFonts w:asciiTheme="majorHAnsi" w:hAnsiTheme="majorHAnsi" w:cstheme="majorHAnsi"/>
              </w:rPr>
              <w:t xml:space="preserve">ysoká finanční spoluúčast v projektech IROP </w:t>
            </w:r>
            <w:r w:rsidR="005E06F1">
              <w:rPr>
                <w:rFonts w:asciiTheme="majorHAnsi" w:hAnsiTheme="majorHAnsi" w:cstheme="majorHAnsi"/>
              </w:rPr>
              <w:t>–</w:t>
            </w:r>
            <w:r w:rsidRPr="00B9293B">
              <w:rPr>
                <w:rFonts w:asciiTheme="majorHAnsi" w:hAnsiTheme="majorHAnsi" w:cstheme="majorHAnsi"/>
              </w:rPr>
              <w:t xml:space="preserve"> obce na spoluúčast nemají peníze</w:t>
            </w:r>
          </w:p>
          <w:p w14:paraId="1C1DC51F" w14:textId="02D5D9BA" w:rsidR="00FE4A50" w:rsidRPr="005D73DA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Není</w:t>
            </w:r>
            <w:r w:rsidRPr="00B9293B">
              <w:rPr>
                <w:rFonts w:asciiTheme="majorHAnsi" w:hAnsiTheme="majorHAnsi" w:cstheme="majorHAnsi"/>
              </w:rPr>
              <w:t xml:space="preserve"> zřejmé, jestli budou další finance ze strany MŠMT na udržení úrovně ve vybavení ve školách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</w:tc>
      </w:tr>
    </w:tbl>
    <w:p w14:paraId="29F551D9" w14:textId="0E119135" w:rsidR="0045329C" w:rsidRPr="005D73DA" w:rsidRDefault="0045329C">
      <w:pPr>
        <w:rPr>
          <w:rFonts w:asciiTheme="majorHAnsi" w:hAnsiTheme="majorHAnsi" w:cstheme="majorHAnsi"/>
        </w:rPr>
      </w:pPr>
    </w:p>
    <w:p w14:paraId="2E0E4E0A" w14:textId="59A266A8" w:rsidR="00271801" w:rsidRPr="005D73DA" w:rsidRDefault="00271801">
      <w:pPr>
        <w:rPr>
          <w:rFonts w:asciiTheme="majorHAnsi" w:hAnsiTheme="majorHAnsi" w:cstheme="majorHAnsi"/>
        </w:rPr>
      </w:pPr>
    </w:p>
    <w:p w14:paraId="7FF3DA87" w14:textId="3D5E7594" w:rsidR="00271801" w:rsidRPr="005D73DA" w:rsidRDefault="00271801">
      <w:pPr>
        <w:rPr>
          <w:rFonts w:asciiTheme="majorHAnsi" w:hAnsiTheme="majorHAnsi" w:cstheme="majorHAnsi"/>
        </w:rPr>
      </w:pPr>
    </w:p>
    <w:p w14:paraId="746858E0" w14:textId="694C5B88" w:rsidR="00CF6614" w:rsidRPr="00626CCC" w:rsidRDefault="00CF6614" w:rsidP="00CF6614">
      <w:pPr>
        <w:pStyle w:val="Titulek"/>
        <w:keepNext/>
        <w:rPr>
          <w:rFonts w:asciiTheme="majorHAnsi" w:hAnsiTheme="majorHAnsi" w:cstheme="majorHAnsi"/>
          <w:color w:val="538135" w:themeColor="accent6" w:themeShade="BF"/>
          <w:sz w:val="28"/>
          <w:szCs w:val="28"/>
        </w:rPr>
      </w:pPr>
      <w:r w:rsidRPr="00626CCC">
        <w:rPr>
          <w:rFonts w:asciiTheme="majorHAnsi" w:hAnsiTheme="majorHAnsi" w:cstheme="majorHAnsi"/>
          <w:color w:val="538135" w:themeColor="accent6" w:themeShade="BF"/>
          <w:sz w:val="28"/>
          <w:szCs w:val="28"/>
        </w:rPr>
        <w:t>SWOT ANALÝZA Pracovní skupina pro rozvoj matematické gramotnosti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7"/>
        <w:gridCol w:w="4337"/>
      </w:tblGrid>
      <w:tr w:rsidR="00271801" w:rsidRPr="005D73DA" w14:paraId="6B85E808" w14:textId="77777777" w:rsidTr="00024280">
        <w:trPr>
          <w:trHeight w:val="722"/>
        </w:trPr>
        <w:tc>
          <w:tcPr>
            <w:tcW w:w="4337" w:type="dxa"/>
            <w:shd w:val="clear" w:color="auto" w:fill="E2EFD9" w:themeFill="accent6" w:themeFillTint="33"/>
          </w:tcPr>
          <w:p w14:paraId="4313D310" w14:textId="65B07D75" w:rsidR="00271801" w:rsidRPr="005D73DA" w:rsidRDefault="00271801" w:rsidP="005065B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Silné stránky </w:t>
            </w:r>
          </w:p>
          <w:p w14:paraId="51AF14CF" w14:textId="77777777" w:rsidR="00271801" w:rsidRDefault="00271801" w:rsidP="005065BD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1 </w:t>
            </w:r>
            <w:r w:rsidR="00C92AD0" w:rsidRPr="00C92AD0">
              <w:rPr>
                <w:rFonts w:asciiTheme="majorHAnsi" w:hAnsiTheme="majorHAnsi" w:cstheme="majorHAnsi"/>
              </w:rPr>
              <w:t>Podpora MŠMT ČR v oblasti finanční gramotnosti a matematické gramotnosti (projekt MAP)</w:t>
            </w:r>
          </w:p>
          <w:p w14:paraId="466C249D" w14:textId="77777777" w:rsidR="00C92AD0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2 </w:t>
            </w:r>
            <w:r w:rsidRPr="00C92AD0">
              <w:rPr>
                <w:rFonts w:asciiTheme="majorHAnsi" w:hAnsiTheme="majorHAnsi" w:cstheme="majorHAnsi"/>
              </w:rPr>
              <w:t>Atraktivnost témat finanční gramotnosti, souvislost s praktickým využitím</w:t>
            </w:r>
          </w:p>
          <w:p w14:paraId="48DB829E" w14:textId="77777777" w:rsidR="00C92AD0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3 </w:t>
            </w:r>
            <w:r w:rsidRPr="00C92AD0">
              <w:rPr>
                <w:rFonts w:asciiTheme="majorHAnsi" w:hAnsiTheme="majorHAnsi" w:cstheme="majorHAnsi"/>
              </w:rPr>
              <w:t>Dostatek odborných učeben a vybavení učeben IT pomůckami pro matematickou gramotnost</w:t>
            </w:r>
          </w:p>
          <w:p w14:paraId="77E201E5" w14:textId="03E9B3F1" w:rsidR="00C92AD0" w:rsidRPr="005D73DA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4 </w:t>
            </w:r>
            <w:r w:rsidRPr="00C92AD0">
              <w:rPr>
                <w:rFonts w:asciiTheme="majorHAnsi" w:hAnsiTheme="majorHAnsi" w:cstheme="majorHAnsi"/>
              </w:rPr>
              <w:t>Přesvědčení většiny společnosti o nezbytnosti finančního vzdělávání již na základních školách</w:t>
            </w:r>
          </w:p>
        </w:tc>
        <w:tc>
          <w:tcPr>
            <w:tcW w:w="4337" w:type="dxa"/>
          </w:tcPr>
          <w:p w14:paraId="346F93B9" w14:textId="77777777" w:rsidR="00271801" w:rsidRPr="005D73DA" w:rsidRDefault="00271801" w:rsidP="005065B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Slabé stránky </w:t>
            </w:r>
          </w:p>
          <w:p w14:paraId="0C0B20AB" w14:textId="7213F84E" w:rsidR="00E00A53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 </w:t>
            </w:r>
            <w:r w:rsidRPr="00C92AD0">
              <w:rPr>
                <w:rFonts w:asciiTheme="majorHAnsi" w:hAnsiTheme="majorHAnsi" w:cstheme="majorHAnsi"/>
              </w:rPr>
              <w:t xml:space="preserve">Nedostatek financí pro pedagogy na rozvoj matematické a </w:t>
            </w:r>
            <w:proofErr w:type="spellStart"/>
            <w:r w:rsidRPr="00C92AD0">
              <w:rPr>
                <w:rFonts w:asciiTheme="majorHAnsi" w:hAnsiTheme="majorHAnsi" w:cstheme="majorHAnsi"/>
              </w:rPr>
              <w:t>fin</w:t>
            </w:r>
            <w:proofErr w:type="spellEnd"/>
            <w:r w:rsidRPr="00C92AD0">
              <w:rPr>
                <w:rFonts w:asciiTheme="majorHAnsi" w:hAnsiTheme="majorHAnsi" w:cstheme="majorHAnsi"/>
              </w:rPr>
              <w:t xml:space="preserve">. gram. (možné půlení hodin </w:t>
            </w:r>
            <w:r w:rsidR="005E06F1">
              <w:rPr>
                <w:rFonts w:asciiTheme="majorHAnsi" w:hAnsiTheme="majorHAnsi" w:cstheme="majorHAnsi"/>
              </w:rPr>
              <w:t>–</w:t>
            </w:r>
            <w:r w:rsidRPr="00C92AD0">
              <w:rPr>
                <w:rFonts w:asciiTheme="majorHAnsi" w:hAnsiTheme="majorHAnsi" w:cstheme="majorHAnsi"/>
              </w:rPr>
              <w:t xml:space="preserve"> tandemy)</w:t>
            </w:r>
          </w:p>
          <w:p w14:paraId="1CDD15B6" w14:textId="77777777" w:rsidR="00C92AD0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2 </w:t>
            </w:r>
            <w:r w:rsidRPr="00C92AD0">
              <w:rPr>
                <w:rFonts w:asciiTheme="majorHAnsi" w:hAnsiTheme="majorHAnsi" w:cstheme="majorHAnsi"/>
              </w:rPr>
              <w:t>Slabá úroveň čten. gram. pro řešení slovních úloh</w:t>
            </w:r>
          </w:p>
          <w:p w14:paraId="444EEDB9" w14:textId="77777777" w:rsidR="00C92AD0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3 </w:t>
            </w:r>
            <w:r w:rsidRPr="00C92AD0">
              <w:rPr>
                <w:rFonts w:asciiTheme="majorHAnsi" w:hAnsiTheme="majorHAnsi" w:cstheme="majorHAnsi"/>
              </w:rPr>
              <w:t>Nedostatečné ohodnocení učitelů, kteří pracují nad rámec svých povinností</w:t>
            </w:r>
          </w:p>
          <w:p w14:paraId="1AA949EE" w14:textId="21EA9B58" w:rsidR="00C92AD0" w:rsidRPr="005D73DA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4 </w:t>
            </w:r>
            <w:r w:rsidRPr="00C92AD0">
              <w:rPr>
                <w:rFonts w:asciiTheme="majorHAnsi" w:hAnsiTheme="majorHAnsi" w:cstheme="majorHAnsi"/>
              </w:rPr>
              <w:t xml:space="preserve">Nedostatečné prosazení výuky finanční gramotnosti na ZŠ z pohledu materiálního (učebnice, pracovní </w:t>
            </w:r>
            <w:r w:rsidR="005E06F1" w:rsidRPr="00C92AD0">
              <w:rPr>
                <w:rFonts w:asciiTheme="majorHAnsi" w:hAnsiTheme="majorHAnsi" w:cstheme="majorHAnsi"/>
              </w:rPr>
              <w:t>listy</w:t>
            </w:r>
            <w:r w:rsidR="005E06F1">
              <w:rPr>
                <w:rFonts w:asciiTheme="majorHAnsi" w:hAnsiTheme="majorHAnsi" w:cstheme="majorHAnsi"/>
              </w:rPr>
              <w:t>...</w:t>
            </w:r>
            <w:r w:rsidRPr="00C92AD0">
              <w:rPr>
                <w:rFonts w:asciiTheme="majorHAnsi" w:hAnsiTheme="majorHAnsi" w:cstheme="majorHAnsi"/>
              </w:rPr>
              <w:t>) a personálního (kompetentní učitelé)</w:t>
            </w:r>
          </w:p>
        </w:tc>
      </w:tr>
      <w:tr w:rsidR="00271801" w:rsidRPr="005D73DA" w14:paraId="65EA4FAD" w14:textId="77777777" w:rsidTr="00024280">
        <w:trPr>
          <w:trHeight w:val="966"/>
        </w:trPr>
        <w:tc>
          <w:tcPr>
            <w:tcW w:w="4337" w:type="dxa"/>
          </w:tcPr>
          <w:p w14:paraId="0B235A12" w14:textId="77777777" w:rsidR="00271801" w:rsidRPr="005D73DA" w:rsidRDefault="00271801" w:rsidP="005065B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Příležitosti </w:t>
            </w:r>
          </w:p>
          <w:p w14:paraId="752040AC" w14:textId="6432ECC4" w:rsidR="00F66775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 </w:t>
            </w:r>
            <w:r w:rsidRPr="00C92AD0">
              <w:rPr>
                <w:rFonts w:asciiTheme="majorHAnsi" w:hAnsiTheme="majorHAnsi" w:cstheme="majorHAnsi"/>
              </w:rPr>
              <w:t>Možnosti dalšího vzdělávání, nabídka seminářů o finančním vzdělávání</w:t>
            </w:r>
          </w:p>
          <w:p w14:paraId="7CC3B14A" w14:textId="77777777" w:rsidR="00C92AD0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2 </w:t>
            </w:r>
            <w:r w:rsidRPr="00C92AD0">
              <w:rPr>
                <w:rFonts w:asciiTheme="majorHAnsi" w:hAnsiTheme="majorHAnsi" w:cstheme="majorHAnsi"/>
              </w:rPr>
              <w:t>Dostatek informací na portálech určených vzdělávání</w:t>
            </w:r>
          </w:p>
          <w:p w14:paraId="1C62EF2A" w14:textId="77777777" w:rsidR="00C92AD0" w:rsidRDefault="00C92AD0" w:rsidP="005065B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3 </w:t>
            </w:r>
            <w:r w:rsidRPr="00C92AD0">
              <w:rPr>
                <w:rFonts w:asciiTheme="majorHAnsi" w:hAnsiTheme="majorHAnsi" w:cstheme="majorHAnsi"/>
              </w:rPr>
              <w:t xml:space="preserve">Možnost spolupráce s NNO, které se dané problematice věnují (dluhové poradny apod.) </w:t>
            </w:r>
            <w:r w:rsidRPr="00C92AD0">
              <w:rPr>
                <w:rFonts w:asciiTheme="majorHAnsi" w:hAnsiTheme="majorHAnsi" w:cstheme="majorHAnsi"/>
              </w:rPr>
              <w:lastRenderedPageBreak/>
              <w:t>a doplnění teorie právě o zkušenosti těchto organizací)</w:t>
            </w:r>
          </w:p>
          <w:p w14:paraId="2FAC09AF" w14:textId="77777777" w:rsidR="00C92AD0" w:rsidRDefault="00C92AD0" w:rsidP="00C92AD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4 </w:t>
            </w:r>
            <w:r w:rsidRPr="00C92AD0">
              <w:rPr>
                <w:rFonts w:asciiTheme="majorHAnsi" w:hAnsiTheme="majorHAnsi" w:cstheme="majorHAnsi"/>
              </w:rPr>
              <w:t>Příležitosti pro odborníky/lektory vyučující FG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207F7056" w14:textId="77777777" w:rsidR="00C92AD0" w:rsidRDefault="00C92AD0" w:rsidP="00C92AD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5 </w:t>
            </w:r>
            <w:r w:rsidRPr="00C92AD0">
              <w:rPr>
                <w:rFonts w:asciiTheme="majorHAnsi" w:hAnsiTheme="majorHAnsi" w:cstheme="majorHAnsi"/>
              </w:rPr>
              <w:t>Spolupráce mezi školami (příklady dobré praxe)</w:t>
            </w:r>
          </w:p>
          <w:p w14:paraId="353137D1" w14:textId="002FD6BD" w:rsidR="00C92AD0" w:rsidRPr="005D73DA" w:rsidRDefault="00C92AD0" w:rsidP="00C92AD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6 </w:t>
            </w:r>
            <w:r w:rsidRPr="00C92AD0">
              <w:rPr>
                <w:rFonts w:asciiTheme="majorHAnsi" w:hAnsiTheme="majorHAnsi" w:cstheme="majorHAnsi"/>
              </w:rPr>
              <w:t xml:space="preserve">Spolupráce na mezinárodní úrovni (zapojení se do projektů </w:t>
            </w:r>
            <w:proofErr w:type="spellStart"/>
            <w:r w:rsidRPr="00C92AD0">
              <w:rPr>
                <w:rFonts w:asciiTheme="majorHAnsi" w:hAnsiTheme="majorHAnsi" w:cstheme="majorHAnsi"/>
              </w:rPr>
              <w:t>eTwinning</w:t>
            </w:r>
            <w:proofErr w:type="spellEnd"/>
            <w:r w:rsidRPr="00C92AD0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C92AD0">
              <w:rPr>
                <w:rFonts w:asciiTheme="majorHAnsi" w:hAnsiTheme="majorHAnsi" w:cstheme="majorHAnsi"/>
              </w:rPr>
              <w:t>Future</w:t>
            </w:r>
            <w:proofErr w:type="spellEnd"/>
            <w:r w:rsidRPr="00C92AD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92AD0">
              <w:rPr>
                <w:rFonts w:asciiTheme="majorHAnsi" w:hAnsiTheme="majorHAnsi" w:cstheme="majorHAnsi"/>
              </w:rPr>
              <w:t>Classroom</w:t>
            </w:r>
            <w:proofErr w:type="spellEnd"/>
            <w:r w:rsidRPr="00C92AD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92AD0">
              <w:rPr>
                <w:rFonts w:asciiTheme="majorHAnsi" w:hAnsiTheme="majorHAnsi" w:cstheme="majorHAnsi"/>
              </w:rPr>
              <w:t>Lab</w:t>
            </w:r>
            <w:proofErr w:type="spellEnd"/>
            <w:r w:rsidRPr="00C92AD0">
              <w:rPr>
                <w:rFonts w:asciiTheme="majorHAnsi" w:hAnsiTheme="majorHAnsi" w:cstheme="majorHAnsi"/>
              </w:rPr>
              <w:t>, Erasmus+…)</w:t>
            </w:r>
          </w:p>
        </w:tc>
        <w:tc>
          <w:tcPr>
            <w:tcW w:w="4337" w:type="dxa"/>
            <w:shd w:val="clear" w:color="auto" w:fill="E2EFD9" w:themeFill="accent6" w:themeFillTint="33"/>
          </w:tcPr>
          <w:p w14:paraId="3C372D82" w14:textId="77777777" w:rsidR="00271801" w:rsidRPr="005D73DA" w:rsidRDefault="00271801" w:rsidP="005065B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lastRenderedPageBreak/>
              <w:t xml:space="preserve">Hrozby </w:t>
            </w:r>
          </w:p>
          <w:p w14:paraId="2BD9B33D" w14:textId="1BB2C6F5" w:rsidR="00C92AD0" w:rsidRDefault="00271801" w:rsidP="00C92AD0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1 </w:t>
            </w:r>
            <w:r w:rsidR="00C92AD0" w:rsidRPr="00C92AD0">
              <w:rPr>
                <w:rFonts w:asciiTheme="majorHAnsi" w:hAnsiTheme="majorHAnsi" w:cstheme="majorHAnsi"/>
              </w:rPr>
              <w:t>Odchod odborníků z řad učitelů do jiných profesí, frustrace stávajících zaměstnanců, nedostatek kvalitních zájemců o vzdělávání žáků v přírodovědných i jiných oborech</w:t>
            </w:r>
          </w:p>
          <w:p w14:paraId="46BD8F67" w14:textId="3B9D113D" w:rsidR="00C92AD0" w:rsidRDefault="00C92AD0" w:rsidP="00C92AD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2 </w:t>
            </w:r>
            <w:r w:rsidRPr="00C92AD0">
              <w:rPr>
                <w:rFonts w:asciiTheme="majorHAnsi" w:hAnsiTheme="majorHAnsi" w:cstheme="majorHAnsi"/>
              </w:rPr>
              <w:t>Učitelé mají obavy z represí, pokud testování žáků dopadne špatně, z toho plynoucí neobjektivní testování</w:t>
            </w:r>
          </w:p>
          <w:p w14:paraId="24FA1A93" w14:textId="364D1F8F" w:rsidR="00C92AD0" w:rsidRPr="005D73DA" w:rsidRDefault="00C92AD0" w:rsidP="00C92AD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3 </w:t>
            </w:r>
            <w:r w:rsidRPr="00C92AD0">
              <w:rPr>
                <w:rFonts w:asciiTheme="majorHAnsi" w:hAnsiTheme="majorHAnsi" w:cstheme="majorHAnsi"/>
              </w:rPr>
              <w:t>Externí pracovníci/lektoři protěžují vlastní zájmy (jednu banku, jednu pojišťovnu)</w:t>
            </w:r>
          </w:p>
          <w:p w14:paraId="59BDEAEC" w14:textId="75D0C689" w:rsidR="00CF6614" w:rsidRPr="005D73DA" w:rsidRDefault="00CF6614" w:rsidP="005065BD">
            <w:pPr>
              <w:rPr>
                <w:rFonts w:asciiTheme="majorHAnsi" w:hAnsiTheme="majorHAnsi" w:cstheme="majorHAnsi"/>
              </w:rPr>
            </w:pPr>
          </w:p>
        </w:tc>
      </w:tr>
    </w:tbl>
    <w:p w14:paraId="313C36F9" w14:textId="7F70803C" w:rsidR="0045329C" w:rsidRPr="005D73DA" w:rsidRDefault="0045329C">
      <w:pPr>
        <w:rPr>
          <w:rFonts w:asciiTheme="majorHAnsi" w:hAnsiTheme="majorHAnsi" w:cstheme="majorHAnsi"/>
        </w:rPr>
      </w:pPr>
    </w:p>
    <w:p w14:paraId="575B8B96" w14:textId="350035AF" w:rsidR="0024624C" w:rsidRPr="00626CCC" w:rsidRDefault="0024624C" w:rsidP="0024624C">
      <w:pPr>
        <w:pStyle w:val="Titulek"/>
        <w:keepNext/>
        <w:rPr>
          <w:rFonts w:asciiTheme="majorHAnsi" w:hAnsiTheme="majorHAnsi" w:cstheme="majorHAnsi"/>
          <w:color w:val="538135" w:themeColor="accent6" w:themeShade="BF"/>
          <w:sz w:val="28"/>
          <w:szCs w:val="28"/>
        </w:rPr>
      </w:pPr>
      <w:r w:rsidRPr="00626CCC">
        <w:rPr>
          <w:rFonts w:asciiTheme="majorHAnsi" w:hAnsiTheme="majorHAnsi" w:cstheme="majorHAnsi"/>
          <w:color w:val="538135" w:themeColor="accent6" w:themeShade="BF"/>
          <w:sz w:val="28"/>
          <w:szCs w:val="28"/>
        </w:rPr>
        <w:t>SWOT ANALÝZA Pracovní skupina Občanské kompetence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7"/>
        <w:gridCol w:w="4337"/>
      </w:tblGrid>
      <w:tr w:rsidR="005112D8" w:rsidRPr="005D73DA" w14:paraId="2F144FB9" w14:textId="77777777" w:rsidTr="009116BC">
        <w:trPr>
          <w:trHeight w:val="722"/>
        </w:trPr>
        <w:tc>
          <w:tcPr>
            <w:tcW w:w="4337" w:type="dxa"/>
            <w:shd w:val="clear" w:color="auto" w:fill="E2EFD9" w:themeFill="accent6" w:themeFillTint="33"/>
          </w:tcPr>
          <w:p w14:paraId="7AE9A56E" w14:textId="646710A3" w:rsidR="005112D8" w:rsidRPr="005D73DA" w:rsidRDefault="005112D8" w:rsidP="005112D8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Silné stránky </w:t>
            </w:r>
          </w:p>
          <w:p w14:paraId="707C6392" w14:textId="56A7396E" w:rsidR="005112D8" w:rsidRPr="005D73DA" w:rsidRDefault="005112D8" w:rsidP="005112D8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1 </w:t>
            </w:r>
            <w:r w:rsidR="00A47BA3" w:rsidRPr="005D73DA">
              <w:rPr>
                <w:rFonts w:asciiTheme="majorHAnsi" w:hAnsiTheme="majorHAnsi" w:cstheme="majorHAnsi"/>
              </w:rPr>
              <w:t>Fungující žákovské parlamenty</w:t>
            </w:r>
          </w:p>
          <w:p w14:paraId="6F04C68E" w14:textId="50C15CB7" w:rsidR="005112D8" w:rsidRPr="005D73DA" w:rsidRDefault="005112D8" w:rsidP="005112D8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2 </w:t>
            </w:r>
            <w:r w:rsidR="00A47BA3" w:rsidRPr="005D73DA">
              <w:rPr>
                <w:rFonts w:asciiTheme="majorHAnsi" w:hAnsiTheme="majorHAnsi" w:cstheme="majorHAnsi"/>
              </w:rPr>
              <w:t>Projek</w:t>
            </w:r>
            <w:r w:rsidR="001266C4" w:rsidRPr="005D73DA">
              <w:rPr>
                <w:rFonts w:asciiTheme="majorHAnsi" w:hAnsiTheme="majorHAnsi" w:cstheme="majorHAnsi"/>
              </w:rPr>
              <w:t>t</w:t>
            </w:r>
            <w:r w:rsidR="00A47BA3" w:rsidRPr="005D73DA">
              <w:rPr>
                <w:rFonts w:asciiTheme="majorHAnsi" w:hAnsiTheme="majorHAnsi" w:cstheme="majorHAnsi"/>
              </w:rPr>
              <w:t>ové dny zaměřené na prevenci rizikových forem chování</w:t>
            </w:r>
          </w:p>
          <w:p w14:paraId="254232CB" w14:textId="74FB759B" w:rsidR="005112D8" w:rsidRPr="005D73DA" w:rsidRDefault="005112D8" w:rsidP="005112D8">
            <w:pPr>
              <w:rPr>
                <w:rFonts w:asciiTheme="majorHAnsi" w:hAnsiTheme="majorHAnsi" w:cstheme="majorHAnsi"/>
              </w:rPr>
            </w:pPr>
            <w:r w:rsidRPr="005D73DA">
              <w:rPr>
                <w:rFonts w:asciiTheme="majorHAnsi" w:hAnsiTheme="majorHAnsi" w:cstheme="majorHAnsi"/>
              </w:rPr>
              <w:t xml:space="preserve">3 </w:t>
            </w:r>
            <w:r w:rsidR="001266C4" w:rsidRPr="005D73DA">
              <w:rPr>
                <w:rFonts w:asciiTheme="majorHAnsi" w:hAnsiTheme="majorHAnsi" w:cstheme="majorHAnsi"/>
              </w:rPr>
              <w:t>Spolupráce v přeshraniční oblasti</w:t>
            </w:r>
            <w:r w:rsidR="00B9293B">
              <w:rPr>
                <w:rFonts w:asciiTheme="majorHAnsi" w:hAnsiTheme="majorHAnsi" w:cstheme="majorHAnsi"/>
              </w:rPr>
              <w:t xml:space="preserve"> – Projekt Trojmezí</w:t>
            </w:r>
          </w:p>
          <w:p w14:paraId="071628B4" w14:textId="038B6E7A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4 </w:t>
            </w:r>
            <w:r w:rsidRPr="00B9293B">
              <w:rPr>
                <w:rFonts w:asciiTheme="majorHAnsi" w:hAnsiTheme="majorHAnsi" w:cstheme="majorHAnsi"/>
              </w:rPr>
              <w:t>Výstavbou nového IV centra se zvýšila možnost, kvalita a kapacita pro přednášky ve oblastech požární ochrany, první pomoci</w:t>
            </w:r>
            <w:r>
              <w:rPr>
                <w:rFonts w:asciiTheme="majorHAnsi" w:hAnsiTheme="majorHAnsi" w:cstheme="majorHAnsi"/>
              </w:rPr>
              <w:br/>
            </w:r>
            <w:r w:rsidRPr="00B9293B">
              <w:rPr>
                <w:rFonts w:asciiTheme="majorHAnsi" w:hAnsiTheme="majorHAnsi" w:cstheme="majorHAnsi"/>
              </w:rPr>
              <w:t>a bezpečnosti, jelikož tam jsou umístěny 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 xml:space="preserve">složky IZS. Budovu mohou navštěvovat MŠ </w:t>
            </w:r>
            <w:r>
              <w:rPr>
                <w:rFonts w:asciiTheme="majorHAnsi" w:hAnsiTheme="majorHAnsi" w:cstheme="majorHAnsi"/>
              </w:rPr>
              <w:br/>
            </w:r>
            <w:r w:rsidRPr="00B9293B">
              <w:rPr>
                <w:rFonts w:asciiTheme="majorHAnsi" w:hAnsiTheme="majorHAnsi" w:cstheme="majorHAnsi"/>
              </w:rPr>
              <w:t>a ZŠ z celého ORP.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2123CDC7" w14:textId="3460C628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5 </w:t>
            </w:r>
            <w:r w:rsidRPr="00B9293B">
              <w:rPr>
                <w:rFonts w:asciiTheme="majorHAnsi" w:hAnsiTheme="majorHAnsi" w:cstheme="majorHAnsi"/>
              </w:rPr>
              <w:t>Spolupráce metodiků prevence škol v rámci realizace preventivních programů a řešení problém</w:t>
            </w:r>
            <w:r>
              <w:rPr>
                <w:rFonts w:asciiTheme="majorHAnsi" w:hAnsiTheme="majorHAnsi" w:cstheme="majorHAnsi"/>
              </w:rPr>
              <w:t>ů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513F3EB8" w14:textId="06305E97" w:rsidR="005112D8" w:rsidRPr="005D73DA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6 </w:t>
            </w:r>
            <w:r w:rsidRPr="00B9293B">
              <w:rPr>
                <w:rFonts w:asciiTheme="majorHAnsi" w:hAnsiTheme="majorHAnsi" w:cstheme="majorHAnsi"/>
              </w:rPr>
              <w:t>Pravidelné setkávání v rámci schůzky OSPOD a řešení aktuálních problémů v Jablunkově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4337" w:type="dxa"/>
          </w:tcPr>
          <w:p w14:paraId="0255FA7B" w14:textId="0980FFFC" w:rsidR="005112D8" w:rsidRPr="005D73DA" w:rsidRDefault="005112D8" w:rsidP="005112D8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Slabé stránky </w:t>
            </w:r>
          </w:p>
          <w:p w14:paraId="3E3A7582" w14:textId="757CA7CE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Nízké povědomí žáků o místní příslušnosti a identitě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63BAE1D4" w14:textId="5BF1F700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Rozšiřující se rizikové formy chování u žáků-agresivita, návykové látky, vandalismus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1376678C" w14:textId="66E1C8CE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Selhává rodina, např. neúp</w:t>
            </w:r>
            <w:r>
              <w:rPr>
                <w:rFonts w:asciiTheme="majorHAnsi" w:hAnsiTheme="majorHAnsi" w:cstheme="majorHAnsi"/>
              </w:rPr>
              <w:t>l</w:t>
            </w:r>
            <w:r w:rsidRPr="00B9293B">
              <w:rPr>
                <w:rFonts w:asciiTheme="majorHAnsi" w:hAnsiTheme="majorHAnsi" w:cstheme="majorHAnsi"/>
              </w:rPr>
              <w:t>ná rodina, nejednota ve výchově, nedůslednost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406F1E0E" w14:textId="2BB32B91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Nízká občanská zodpovědnost u žáků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2B41FE83" w14:textId="1C82FA3B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Chybějící aktivity a zázemí pro využití volného času mládeže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8C7A22">
              <w:rPr>
                <w:rFonts w:asciiTheme="majorHAnsi" w:hAnsiTheme="majorHAnsi" w:cstheme="majorHAnsi"/>
              </w:rPr>
              <w:t>–</w:t>
            </w:r>
            <w:r w:rsidRPr="00B9293B">
              <w:rPr>
                <w:rFonts w:asciiTheme="majorHAnsi" w:hAnsiTheme="majorHAnsi" w:cstheme="majorHAnsi"/>
              </w:rPr>
              <w:t xml:space="preserve"> vyjma sportovních</w:t>
            </w:r>
          </w:p>
          <w:p w14:paraId="1DCDA70F" w14:textId="0D7B7A5D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 xml:space="preserve">Rizika sociálních sítí, kyberšikana, </w:t>
            </w:r>
            <w:proofErr w:type="spellStart"/>
            <w:r w:rsidRPr="00B9293B">
              <w:rPr>
                <w:rFonts w:asciiTheme="majorHAnsi" w:hAnsiTheme="majorHAnsi" w:cstheme="majorHAnsi"/>
              </w:rPr>
              <w:t>kybergrooming</w:t>
            </w:r>
            <w:proofErr w:type="spellEnd"/>
            <w:r w:rsidRPr="00B9293B">
              <w:rPr>
                <w:rFonts w:asciiTheme="majorHAnsi" w:hAnsiTheme="majorHAnsi" w:cstheme="majorHAnsi"/>
              </w:rPr>
              <w:tab/>
            </w:r>
          </w:p>
          <w:p w14:paraId="674DCF3D" w14:textId="29EA3EBB" w:rsidR="009D4640" w:rsidRPr="005D73DA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Nedostatečné kompetence pedagogů</w:t>
            </w:r>
            <w:r>
              <w:rPr>
                <w:rFonts w:asciiTheme="majorHAnsi" w:hAnsiTheme="majorHAnsi" w:cstheme="majorHAnsi"/>
              </w:rPr>
              <w:br/>
            </w:r>
            <w:r w:rsidRPr="00B9293B">
              <w:rPr>
                <w:rFonts w:asciiTheme="majorHAnsi" w:hAnsiTheme="majorHAnsi" w:cstheme="majorHAnsi"/>
              </w:rPr>
              <w:t xml:space="preserve">v oblasti řešení problémových situací </w:t>
            </w:r>
            <w:r>
              <w:rPr>
                <w:rFonts w:asciiTheme="majorHAnsi" w:hAnsiTheme="majorHAnsi" w:cstheme="majorHAnsi"/>
              </w:rPr>
              <w:br/>
            </w:r>
            <w:r w:rsidRPr="00B9293B">
              <w:rPr>
                <w:rFonts w:asciiTheme="majorHAnsi" w:hAnsiTheme="majorHAnsi" w:cstheme="majorHAnsi"/>
              </w:rPr>
              <w:t>v kolektivu žáků. Nedostatečná znalost metod pro práci se třídou.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</w:tc>
      </w:tr>
      <w:tr w:rsidR="005112D8" w:rsidRPr="005D73DA" w14:paraId="36AAF05B" w14:textId="77777777" w:rsidTr="009116BC">
        <w:trPr>
          <w:trHeight w:val="966"/>
        </w:trPr>
        <w:tc>
          <w:tcPr>
            <w:tcW w:w="4337" w:type="dxa"/>
          </w:tcPr>
          <w:p w14:paraId="394329A6" w14:textId="6476A597" w:rsidR="005112D8" w:rsidRPr="005D73DA" w:rsidRDefault="005112D8" w:rsidP="005112D8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Příležitosti </w:t>
            </w:r>
          </w:p>
          <w:p w14:paraId="2E5453F1" w14:textId="7EFFDFAE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Využ</w:t>
            </w:r>
            <w:r>
              <w:rPr>
                <w:rFonts w:asciiTheme="majorHAnsi" w:hAnsiTheme="majorHAnsi" w:cstheme="majorHAnsi"/>
              </w:rPr>
              <w:t>i</w:t>
            </w:r>
            <w:r w:rsidRPr="00B9293B">
              <w:rPr>
                <w:rFonts w:asciiTheme="majorHAnsi" w:hAnsiTheme="majorHAnsi" w:cstheme="majorHAnsi"/>
              </w:rPr>
              <w:t>t</w:t>
            </w:r>
            <w:r>
              <w:rPr>
                <w:rFonts w:asciiTheme="majorHAnsi" w:hAnsiTheme="majorHAnsi" w:cstheme="majorHAnsi"/>
              </w:rPr>
              <w:t>í</w:t>
            </w:r>
            <w:r w:rsidRPr="00B9293B">
              <w:rPr>
                <w:rFonts w:asciiTheme="majorHAnsi" w:hAnsiTheme="majorHAnsi" w:cstheme="majorHAnsi"/>
              </w:rPr>
              <w:t xml:space="preserve"> na školách příkladů dobré praxe z úspěšných projektů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742504B0" w14:textId="6CC32DA4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 xml:space="preserve">Vzájemné sdílení napříč školami formou kolegiální pomoci, supervize, monitoringu a </w:t>
            </w:r>
            <w:proofErr w:type="spellStart"/>
            <w:r w:rsidR="00033D67" w:rsidRPr="00B9293B">
              <w:rPr>
                <w:rFonts w:asciiTheme="majorHAnsi" w:hAnsiTheme="majorHAnsi" w:cstheme="majorHAnsi"/>
              </w:rPr>
              <w:t>koučin</w:t>
            </w:r>
            <w:r w:rsidR="00033D67">
              <w:rPr>
                <w:rFonts w:asciiTheme="majorHAnsi" w:hAnsiTheme="majorHAnsi" w:cstheme="majorHAnsi"/>
              </w:rPr>
              <w:t>g</w:t>
            </w:r>
            <w:r w:rsidR="00033D67" w:rsidRPr="00B9293B">
              <w:rPr>
                <w:rFonts w:asciiTheme="majorHAnsi" w:hAnsiTheme="majorHAnsi" w:cstheme="majorHAnsi"/>
              </w:rPr>
              <w:t>u</w:t>
            </w:r>
            <w:proofErr w:type="spellEnd"/>
            <w:r w:rsidR="002A621F">
              <w:rPr>
                <w:rFonts w:asciiTheme="majorHAnsi" w:hAnsiTheme="majorHAnsi" w:cstheme="majorHAnsi"/>
              </w:rPr>
              <w:t xml:space="preserve"> –</w:t>
            </w:r>
            <w:r w:rsidRPr="00B9293B">
              <w:rPr>
                <w:rFonts w:asciiTheme="majorHAnsi" w:hAnsiTheme="majorHAnsi" w:cstheme="majorHAnsi"/>
              </w:rPr>
              <w:t xml:space="preserve"> zatím jsme nevyužili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4B31C05C" w14:textId="497D785E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Spolupráce s externími odborníky při řešení problémů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(psycholog, lektor)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4EAD5CF7" w14:textId="6FA4901A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lastRenderedPageBreak/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Přednášky pro rodiče s odborníky v oblasti poruch chování, učení, PAS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78BA23B1" w14:textId="77777777" w:rsid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Připravit projek</w:t>
            </w:r>
            <w:r>
              <w:rPr>
                <w:rFonts w:asciiTheme="majorHAnsi" w:hAnsiTheme="majorHAnsi" w:cstheme="majorHAnsi"/>
              </w:rPr>
              <w:t>t</w:t>
            </w:r>
            <w:r w:rsidRPr="00B9293B">
              <w:rPr>
                <w:rFonts w:asciiTheme="majorHAnsi" w:hAnsiTheme="majorHAnsi" w:cstheme="majorHAnsi"/>
              </w:rPr>
              <w:t>ové dny v rámci prevence rizikových forem chování, PVČ v oblasti bezpečnosti, PO, PP a záchrana tonoucího</w:t>
            </w:r>
          </w:p>
          <w:p w14:paraId="43EE8246" w14:textId="597E051D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 xml:space="preserve">"Pořídit pomůcky pro zvýšení bezpečnosti </w:t>
            </w:r>
            <w:r w:rsidR="00033D67">
              <w:rPr>
                <w:rFonts w:asciiTheme="majorHAnsi" w:hAnsiTheme="majorHAnsi" w:cstheme="majorHAnsi"/>
              </w:rPr>
              <w:br/>
            </w:r>
            <w:r w:rsidRPr="00B9293B">
              <w:rPr>
                <w:rFonts w:asciiTheme="majorHAnsi" w:hAnsiTheme="majorHAnsi" w:cstheme="majorHAnsi"/>
              </w:rPr>
              <w:t>na školských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zařízeních. Např AED, nouzové osvětlení, prostředky pro řízení evakuace,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zabezpečení evakuačních východů atd."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51B46D04" w14:textId="07B6BC8C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Pořídit pomůcky k organizaci cvičení pro vytvoření reálných podmínek na školských objektech. (například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vyvíječ umělého kouře pro požár)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11C718BC" w14:textId="50F83391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Vést žáky k zodpovědnému přístupu ke svému životu, své škole, své obci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08D079A6" w14:textId="79379417" w:rsidR="00E16E6D" w:rsidRPr="005D73DA" w:rsidRDefault="00B9293B" w:rsidP="00B9293B">
            <w:pPr>
              <w:rPr>
                <w:rFonts w:asciiTheme="majorHAnsi" w:hAnsiTheme="majorHAnsi" w:cstheme="majorHAnsi"/>
              </w:rPr>
            </w:pPr>
            <w:r w:rsidRPr="00B9293B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293B">
              <w:rPr>
                <w:rFonts w:asciiTheme="majorHAnsi" w:hAnsiTheme="majorHAnsi" w:cstheme="majorHAnsi"/>
              </w:rPr>
              <w:t>Prostřednictvím žákovských parlamentů zvýšit zájem žáků o školní společenství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4337" w:type="dxa"/>
            <w:shd w:val="clear" w:color="auto" w:fill="E2EFD9" w:themeFill="accent6" w:themeFillTint="33"/>
          </w:tcPr>
          <w:p w14:paraId="40D79093" w14:textId="77777777" w:rsidR="005112D8" w:rsidRPr="005D73DA" w:rsidRDefault="005112D8" w:rsidP="005112D8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lastRenderedPageBreak/>
              <w:t xml:space="preserve">Hrozby </w:t>
            </w:r>
          </w:p>
          <w:p w14:paraId="63B32ED2" w14:textId="285BB050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 </w:t>
            </w:r>
            <w:r w:rsidRPr="00B9293B">
              <w:rPr>
                <w:rFonts w:asciiTheme="majorHAnsi" w:hAnsiTheme="majorHAnsi" w:cstheme="majorHAnsi"/>
              </w:rPr>
              <w:t>Nízký zájem rodičů o informace v oblasti vzdělávání žáků s poruchami učení a chován</w:t>
            </w:r>
            <w:r>
              <w:rPr>
                <w:rFonts w:asciiTheme="majorHAnsi" w:hAnsiTheme="majorHAnsi" w:cstheme="majorHAnsi"/>
              </w:rPr>
              <w:t>í</w:t>
            </w:r>
          </w:p>
          <w:p w14:paraId="6C1817B6" w14:textId="5084F682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2 </w:t>
            </w:r>
            <w:r w:rsidRPr="00B9293B">
              <w:rPr>
                <w:rFonts w:asciiTheme="majorHAnsi" w:hAnsiTheme="majorHAnsi" w:cstheme="majorHAnsi"/>
              </w:rPr>
              <w:t>Studijní a výchovné cíle nekorespondují s očekáváním jejich rodičů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735290C2" w14:textId="2F6699BA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3 </w:t>
            </w:r>
            <w:r w:rsidRPr="00B9293B">
              <w:rPr>
                <w:rFonts w:asciiTheme="majorHAnsi" w:hAnsiTheme="majorHAnsi" w:cstheme="majorHAnsi"/>
              </w:rPr>
              <w:t>Finanční a organizační náročnost při získávání odborníků pro práci s žákovskými kolektivy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41885531" w14:textId="50B8E230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4 </w:t>
            </w:r>
            <w:r w:rsidRPr="00B9293B">
              <w:rPr>
                <w:rFonts w:asciiTheme="majorHAnsi" w:hAnsiTheme="majorHAnsi" w:cstheme="majorHAnsi"/>
              </w:rPr>
              <w:t>Dlouhodobě chybějící prostory pro kulturu, sport a volný čas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2639163D" w14:textId="6B40ECBA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5 </w:t>
            </w:r>
            <w:r w:rsidRPr="00B9293B">
              <w:rPr>
                <w:rFonts w:asciiTheme="majorHAnsi" w:hAnsiTheme="majorHAnsi" w:cstheme="majorHAnsi"/>
              </w:rPr>
              <w:t>Nedostatek znalostí a dovedností při zvládání mimořádných události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7716E90A" w14:textId="4016C656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6 </w:t>
            </w:r>
            <w:r w:rsidRPr="00B9293B">
              <w:rPr>
                <w:rFonts w:asciiTheme="majorHAnsi" w:hAnsiTheme="majorHAnsi" w:cstheme="majorHAnsi"/>
              </w:rPr>
              <w:t>Časová náročnost při realizací projektů a jejich přemíra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  <w:p w14:paraId="5755C29C" w14:textId="1D34913C" w:rsidR="00B9293B" w:rsidRPr="00B9293B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7 </w:t>
            </w:r>
            <w:r w:rsidRPr="00B9293B">
              <w:rPr>
                <w:rFonts w:asciiTheme="majorHAnsi" w:hAnsiTheme="majorHAnsi" w:cstheme="majorHAnsi"/>
              </w:rPr>
              <w:t xml:space="preserve">Připravené projekty a aktivity nestihneme z časových a finančních důvodů realizovat. </w:t>
            </w:r>
          </w:p>
          <w:p w14:paraId="7117BC97" w14:textId="72B590ED" w:rsidR="00602808" w:rsidRPr="005D73DA" w:rsidRDefault="00B9293B" w:rsidP="00B929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8 </w:t>
            </w:r>
            <w:r w:rsidRPr="00B9293B">
              <w:rPr>
                <w:rFonts w:asciiTheme="majorHAnsi" w:hAnsiTheme="majorHAnsi" w:cstheme="majorHAnsi"/>
              </w:rPr>
              <w:t>Zaměření na výkon a prospěch žáků upozaďuje potřebu pečovat o jejich osobnostní a duševní rozvoj.</w:t>
            </w:r>
            <w:r w:rsidRPr="00B9293B">
              <w:rPr>
                <w:rFonts w:asciiTheme="majorHAnsi" w:hAnsiTheme="majorHAnsi" w:cstheme="majorHAnsi"/>
              </w:rPr>
              <w:tab/>
            </w:r>
          </w:p>
        </w:tc>
      </w:tr>
    </w:tbl>
    <w:p w14:paraId="2FC213DD" w14:textId="4678B3AD" w:rsidR="00FB18B4" w:rsidRPr="005D73DA" w:rsidRDefault="00FB18B4">
      <w:pPr>
        <w:rPr>
          <w:rFonts w:asciiTheme="majorHAnsi" w:hAnsiTheme="majorHAnsi" w:cstheme="majorHAnsi"/>
        </w:rPr>
      </w:pPr>
    </w:p>
    <w:p w14:paraId="65F6034C" w14:textId="5D0BACEF" w:rsidR="004A0DCA" w:rsidRPr="00626CCC" w:rsidRDefault="004A0DCA" w:rsidP="004A0DCA">
      <w:pPr>
        <w:pStyle w:val="Titulek"/>
        <w:keepNext/>
        <w:rPr>
          <w:rFonts w:asciiTheme="majorHAnsi" w:hAnsiTheme="majorHAnsi" w:cstheme="majorHAnsi"/>
          <w:color w:val="538135" w:themeColor="accent6" w:themeShade="BF"/>
          <w:sz w:val="28"/>
          <w:szCs w:val="28"/>
        </w:rPr>
      </w:pPr>
      <w:r w:rsidRPr="00626CCC">
        <w:rPr>
          <w:rFonts w:asciiTheme="majorHAnsi" w:hAnsiTheme="majorHAnsi" w:cstheme="majorHAnsi"/>
          <w:color w:val="538135" w:themeColor="accent6" w:themeShade="BF"/>
          <w:sz w:val="28"/>
          <w:szCs w:val="28"/>
        </w:rPr>
        <w:t>SWOT ANALÝZA Pracovní skupina Podnikavost a kariérové poradenství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7"/>
        <w:gridCol w:w="4337"/>
      </w:tblGrid>
      <w:tr w:rsidR="005A7F8D" w:rsidRPr="005D73DA" w14:paraId="3FDDB214" w14:textId="77777777" w:rsidTr="004C39C5">
        <w:trPr>
          <w:trHeight w:val="722"/>
        </w:trPr>
        <w:tc>
          <w:tcPr>
            <w:tcW w:w="4337" w:type="dxa"/>
            <w:shd w:val="clear" w:color="auto" w:fill="E2EFD9" w:themeFill="accent6" w:themeFillTint="33"/>
          </w:tcPr>
          <w:p w14:paraId="0691C957" w14:textId="123E9EC4" w:rsidR="005A7F8D" w:rsidRPr="005D73DA" w:rsidRDefault="005A7F8D" w:rsidP="005A7F8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Silné stránky </w:t>
            </w:r>
          </w:p>
          <w:p w14:paraId="6D476B89" w14:textId="1EDBBD12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Existence základní struktury výchovného poradenství na školách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67F56120" w14:textId="34CDB09A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Dobrá spolupráce s významnými zaměstnavateli v regionu – Třinecké železárny, </w:t>
            </w:r>
            <w:proofErr w:type="spellStart"/>
            <w:r w:rsidRPr="004C6A61">
              <w:rPr>
                <w:rFonts w:asciiTheme="majorHAnsi" w:hAnsiTheme="majorHAnsi" w:cstheme="majorHAnsi"/>
              </w:rPr>
              <w:t>Bradop</w:t>
            </w:r>
            <w:proofErr w:type="spellEnd"/>
            <w:r w:rsidRPr="004C6A61">
              <w:rPr>
                <w:rFonts w:asciiTheme="majorHAnsi" w:hAnsiTheme="majorHAnsi" w:cstheme="majorHAnsi"/>
              </w:rPr>
              <w:tab/>
            </w:r>
          </w:p>
          <w:p w14:paraId="4B9BFA4A" w14:textId="7BAE2D0B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Velmi dobrá spolupráce s Úřadem práce</w:t>
            </w:r>
            <w:r w:rsidR="008C7A22">
              <w:rPr>
                <w:rFonts w:asciiTheme="majorHAnsi" w:hAnsiTheme="majorHAnsi" w:cstheme="majorHAnsi"/>
              </w:rPr>
              <w:t xml:space="preserve"> – </w:t>
            </w:r>
            <w:r w:rsidRPr="004C6A61">
              <w:rPr>
                <w:rFonts w:asciiTheme="majorHAnsi" w:hAnsiTheme="majorHAnsi" w:cstheme="majorHAnsi"/>
              </w:rPr>
              <w:t>besedy pro žáky 8.tříd, on-line besedy pro rodiče žáků 8. a 9. tříd, zajištění Atlasů školství, pořádání Trhu vzdělávání a uplatnění v Třinci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39DDD7C7" w14:textId="657A6B41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Prezentace středních škol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0EABC08B" w14:textId="3527B59B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Rozšíření webových stránek s tématikou kariérového poradenství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(Info absolvent, "M</w:t>
            </w:r>
            <w:r>
              <w:rPr>
                <w:rFonts w:asciiTheme="majorHAnsi" w:hAnsiTheme="majorHAnsi" w:cstheme="majorHAnsi"/>
              </w:rPr>
              <w:t>ů</w:t>
            </w:r>
            <w:r w:rsidRPr="004C6A61">
              <w:rPr>
                <w:rFonts w:asciiTheme="majorHAnsi" w:hAnsiTheme="majorHAnsi" w:cstheme="majorHAnsi"/>
              </w:rPr>
              <w:t xml:space="preserve">j život po škole", </w:t>
            </w:r>
            <w:proofErr w:type="spellStart"/>
            <w:r w:rsidRPr="004C6A61">
              <w:rPr>
                <w:rFonts w:asciiTheme="majorHAnsi" w:hAnsiTheme="majorHAnsi" w:cstheme="majorHAnsi"/>
              </w:rPr>
              <w:t>Emiero</w:t>
            </w:r>
            <w:proofErr w:type="spellEnd"/>
            <w:r w:rsidRPr="004C6A6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4C6A61">
              <w:rPr>
                <w:rFonts w:asciiTheme="majorHAnsi" w:hAnsiTheme="majorHAnsi" w:cstheme="majorHAnsi"/>
              </w:rPr>
              <w:t>Salmondo</w:t>
            </w:r>
            <w:proofErr w:type="spellEnd"/>
            <w:r w:rsidRPr="004C6A6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4C6A61">
              <w:rPr>
                <w:rFonts w:asciiTheme="majorHAnsi" w:hAnsiTheme="majorHAnsi" w:cstheme="majorHAnsi"/>
              </w:rPr>
              <w:t>Kariérko</w:t>
            </w:r>
            <w:proofErr w:type="spellEnd"/>
            <w:r w:rsidRPr="004C6A61">
              <w:rPr>
                <w:rFonts w:asciiTheme="majorHAnsi" w:hAnsiTheme="majorHAnsi" w:cstheme="majorHAnsi"/>
              </w:rPr>
              <w:t>, …)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6E064067" w14:textId="6402F083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Poskytnutí finančních prostředků pro zajištění exkurzí do firem</w:t>
            </w:r>
            <w:r w:rsidR="008C7A22"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(projekty MAP, MS PAKT zaměstnanosti)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00E19A32" w14:textId="0ABE6039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lastRenderedPageBreak/>
              <w:t>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Nákup deskových her "Vzhůru do světa povolání" pro všechny školy na </w:t>
            </w:r>
            <w:proofErr w:type="spellStart"/>
            <w:r w:rsidR="008C7A22">
              <w:rPr>
                <w:rFonts w:asciiTheme="majorHAnsi" w:hAnsiTheme="majorHAnsi" w:cstheme="majorHAnsi"/>
              </w:rPr>
              <w:t>J</w:t>
            </w:r>
            <w:r w:rsidRPr="004C6A61">
              <w:rPr>
                <w:rFonts w:asciiTheme="majorHAnsi" w:hAnsiTheme="majorHAnsi" w:cstheme="majorHAnsi"/>
              </w:rPr>
              <w:t>ablunkovsku</w:t>
            </w:r>
            <w:proofErr w:type="spellEnd"/>
          </w:p>
          <w:p w14:paraId="701D459C" w14:textId="0B2C0E18" w:rsidR="005A7F8D" w:rsidRPr="005D73DA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Podpora kraje – motivační stipendia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4337" w:type="dxa"/>
          </w:tcPr>
          <w:p w14:paraId="2E0476BF" w14:textId="77777777" w:rsidR="005A7F8D" w:rsidRPr="005D73DA" w:rsidRDefault="005A7F8D" w:rsidP="005A7F8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lastRenderedPageBreak/>
              <w:t xml:space="preserve">Slabé stránky </w:t>
            </w:r>
          </w:p>
          <w:p w14:paraId="375393F1" w14:textId="2E2AADC3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Nekritický názor rodičů, často nevhodný vliv rodičů na volbu povolání, nesoulad rodičovských ambicí s možnostmi dítěte </w:t>
            </w:r>
            <w:r w:rsidR="008C7A22">
              <w:rPr>
                <w:rFonts w:asciiTheme="majorHAnsi" w:hAnsiTheme="majorHAnsi" w:cstheme="majorHAnsi"/>
              </w:rPr>
              <w:t>–</w:t>
            </w:r>
            <w:r w:rsidRPr="004C6A6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</w:t>
            </w:r>
            <w:r w:rsidRPr="004C6A61">
              <w:rPr>
                <w:rFonts w:asciiTheme="majorHAnsi" w:hAnsiTheme="majorHAnsi" w:cstheme="majorHAnsi"/>
              </w:rPr>
              <w:t>ošlo ke zlepšení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1C5F5194" w14:textId="52381614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Nesamostatnost žáků – neschopnost vyřídit si své záležitosti 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0FC96A1E" w14:textId="27D05E80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Nezájem rodičů o využití poradenských služeb školy </w:t>
            </w:r>
            <w:r w:rsidR="008C7A22">
              <w:rPr>
                <w:rFonts w:asciiTheme="majorHAnsi" w:hAnsiTheme="majorHAnsi" w:cstheme="majorHAnsi"/>
              </w:rPr>
              <w:t>–</w:t>
            </w:r>
            <w:r w:rsidRPr="004C6A6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</w:t>
            </w:r>
            <w:r w:rsidRPr="004C6A61">
              <w:rPr>
                <w:rFonts w:asciiTheme="majorHAnsi" w:hAnsiTheme="majorHAnsi" w:cstheme="majorHAnsi"/>
              </w:rPr>
              <w:t>ošlo ke zlepšení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3CF8C216" w14:textId="148E8E30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Málo příležitosti k seznámení s jednotlivými profesemi, řemesly – </w:t>
            </w:r>
            <w:r>
              <w:rPr>
                <w:rFonts w:asciiTheme="majorHAnsi" w:hAnsiTheme="majorHAnsi" w:cstheme="majorHAnsi"/>
              </w:rPr>
              <w:t>d</w:t>
            </w:r>
            <w:r w:rsidRPr="004C6A61">
              <w:rPr>
                <w:rFonts w:asciiTheme="majorHAnsi" w:hAnsiTheme="majorHAnsi" w:cstheme="majorHAnsi"/>
              </w:rPr>
              <w:t>ošlo ke zlepšení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33205FF2" w14:textId="3BF193F1" w:rsid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Nedostatečné kompetence učitelů i žáků </w:t>
            </w:r>
            <w:r>
              <w:rPr>
                <w:rFonts w:asciiTheme="majorHAnsi" w:hAnsiTheme="majorHAnsi" w:cstheme="majorHAnsi"/>
              </w:rPr>
              <w:br/>
            </w:r>
            <w:r w:rsidRPr="004C6A61">
              <w:rPr>
                <w:rFonts w:asciiTheme="majorHAnsi" w:hAnsiTheme="majorHAnsi" w:cstheme="majorHAnsi"/>
              </w:rPr>
              <w:t>v oblasti podnikání a finanční gramotnosti</w:t>
            </w:r>
          </w:p>
          <w:p w14:paraId="1A3ABE3E" w14:textId="4266EDCE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Nedostatek učebnic, učebních pomůcek</w:t>
            </w:r>
          </w:p>
          <w:p w14:paraId="56A2D54C" w14:textId="309AEC45" w:rsidR="0000640E" w:rsidRPr="005D73DA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Spolupráce s ÚP v Jablunkově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</w:tc>
      </w:tr>
      <w:tr w:rsidR="005A7F8D" w:rsidRPr="005D73DA" w14:paraId="49F1E8CB" w14:textId="77777777" w:rsidTr="004C39C5">
        <w:trPr>
          <w:trHeight w:val="966"/>
        </w:trPr>
        <w:tc>
          <w:tcPr>
            <w:tcW w:w="4337" w:type="dxa"/>
          </w:tcPr>
          <w:p w14:paraId="37059191" w14:textId="7C89E9FD" w:rsidR="005A7F8D" w:rsidRPr="005D73DA" w:rsidRDefault="005A7F8D" w:rsidP="005A7F8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Příležitosti </w:t>
            </w:r>
          </w:p>
          <w:p w14:paraId="52501183" w14:textId="647861A2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Navázání spolupráce s místními firmami – možnost zajistit exkurzi, seznámení s řemesly </w:t>
            </w:r>
          </w:p>
          <w:p w14:paraId="16444F07" w14:textId="77777777" w:rsid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Vzájemné sdílení napříč školami formou kolegiální pomoci. Výměna zkušenosti a vzájemná spolupráce kariérových poradců.</w:t>
            </w:r>
          </w:p>
          <w:p w14:paraId="35D56747" w14:textId="6B402124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Vhodné prostředí pro rozvoj malého a středního podnikání na </w:t>
            </w:r>
            <w:proofErr w:type="spellStart"/>
            <w:r w:rsidRPr="004C6A61">
              <w:rPr>
                <w:rFonts w:asciiTheme="majorHAnsi" w:hAnsiTheme="majorHAnsi" w:cstheme="majorHAnsi"/>
              </w:rPr>
              <w:t>Jablunkovsku</w:t>
            </w:r>
            <w:proofErr w:type="spellEnd"/>
            <w:r w:rsidRPr="004C6A61">
              <w:rPr>
                <w:rFonts w:asciiTheme="majorHAnsi" w:hAnsiTheme="majorHAnsi" w:cstheme="majorHAnsi"/>
              </w:rPr>
              <w:t xml:space="preserve"> – vzbudit zájem žáků o tuto problematiku 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56E7EB1B" w14:textId="3F9F3617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Dostatek příležitostí ke vzdělávání pedagogických pracovníků v oblasti kariérového poradenství a podnikavosti 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1A333C42" w14:textId="5522513F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Možnosti studia v příhraniční oblasti, porovnávání možnosti studia s ostatními příhraničními školami – inspirace pro výchovné poradce 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3A9B7476" w14:textId="5DD3EE0D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Spolupráce rodičů, třídních učitelů a kariérových poradců.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78CFAD74" w14:textId="58BABF65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Příklady dobré praxe 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523E2C22" w14:textId="25DDFB83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Zvyšování kompetenci učitelů volby povolání při práci s žáky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3BBC52B3" w14:textId="27E530BE" w:rsidR="00310E08" w:rsidRPr="005D73DA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Změna smýšlení rodičů o volbě SŠ – boření předsudků o volbě řemesla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4337" w:type="dxa"/>
            <w:shd w:val="clear" w:color="auto" w:fill="E2EFD9" w:themeFill="accent6" w:themeFillTint="33"/>
          </w:tcPr>
          <w:p w14:paraId="42BD6DBA" w14:textId="77777777" w:rsidR="005A7F8D" w:rsidRPr="005D73DA" w:rsidRDefault="005A7F8D" w:rsidP="005A7F8D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Hrozby </w:t>
            </w:r>
          </w:p>
          <w:p w14:paraId="293A82C3" w14:textId="257988DC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Nedostatek finančních prostředků pro realizaci akcí zaměřených na volbu povolání </w:t>
            </w:r>
            <w:r w:rsidR="008C7A22">
              <w:rPr>
                <w:rFonts w:asciiTheme="majorHAnsi" w:hAnsiTheme="majorHAnsi" w:cstheme="majorHAnsi"/>
              </w:rPr>
              <w:t>–</w:t>
            </w:r>
            <w:r w:rsidRPr="004C6A61">
              <w:rPr>
                <w:rFonts w:asciiTheme="majorHAnsi" w:hAnsiTheme="majorHAnsi" w:cstheme="majorHAnsi"/>
              </w:rPr>
              <w:t xml:space="preserve"> rovněž došlo ke zlepšení situace díky projektu MAP II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44B74230" w14:textId="73AC6B52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Nedostatek výukových materiálů a pomůcek v oblasti podnikavosti, iniciativy a kreativity </w:t>
            </w:r>
          </w:p>
          <w:p w14:paraId="457312FD" w14:textId="22C8F5CA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Malý zájem zaměstnavatelů a podnikatelů o spolupráci se školami 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6AAC4ECC" w14:textId="549643D3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Špatný vliv nezaměstnaných rodičů pobírajících sociální dávky na utváření vztahu dítěte k práci 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6F57CE9C" w14:textId="55EF0706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 xml:space="preserve">Alarmující nedostatek řemeslníků – zlepšení situace díky motivačním stipendium </w:t>
            </w:r>
            <w:r w:rsidR="008C7A22">
              <w:rPr>
                <w:rFonts w:asciiTheme="majorHAnsi" w:hAnsiTheme="majorHAnsi" w:cstheme="majorHAnsi"/>
              </w:rPr>
              <w:t>–</w:t>
            </w:r>
            <w:r w:rsidRPr="004C6A61">
              <w:rPr>
                <w:rFonts w:asciiTheme="majorHAnsi" w:hAnsiTheme="majorHAnsi" w:cstheme="majorHAnsi"/>
              </w:rPr>
              <w:t xml:space="preserve"> finanční podpora MSK 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169E2319" w14:textId="4F0C4368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Klesající úrove</w:t>
            </w:r>
            <w:r>
              <w:rPr>
                <w:rFonts w:asciiTheme="majorHAnsi" w:hAnsiTheme="majorHAnsi" w:cstheme="majorHAnsi"/>
              </w:rPr>
              <w:t>ň</w:t>
            </w:r>
            <w:r w:rsidRPr="004C6A61">
              <w:rPr>
                <w:rFonts w:asciiTheme="majorHAnsi" w:hAnsiTheme="majorHAnsi" w:cstheme="majorHAnsi"/>
              </w:rPr>
              <w:t xml:space="preserve"> výsledků vzdělávání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4BB52343" w14:textId="0DE047BB" w:rsidR="004C6A61" w:rsidRPr="004C6A61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Nízká prestiž manuální práce, společenská prestiž řemeslných povolání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  <w:p w14:paraId="7759C545" w14:textId="79CBE030" w:rsidR="00203A8A" w:rsidRPr="005D73DA" w:rsidRDefault="004C6A61" w:rsidP="004C6A61">
            <w:pPr>
              <w:rPr>
                <w:rFonts w:asciiTheme="majorHAnsi" w:hAnsiTheme="majorHAnsi" w:cstheme="majorHAnsi"/>
              </w:rPr>
            </w:pPr>
            <w:r w:rsidRPr="004C6A61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C6A61">
              <w:rPr>
                <w:rFonts w:asciiTheme="majorHAnsi" w:hAnsiTheme="majorHAnsi" w:cstheme="majorHAnsi"/>
              </w:rPr>
              <w:t>Špatné pracovní návyky žáků, nízká úroveň odpovědnosti</w:t>
            </w:r>
            <w:r w:rsidRPr="004C6A61">
              <w:rPr>
                <w:rFonts w:asciiTheme="majorHAnsi" w:hAnsiTheme="majorHAnsi" w:cstheme="majorHAnsi"/>
              </w:rPr>
              <w:tab/>
            </w:r>
          </w:p>
        </w:tc>
      </w:tr>
    </w:tbl>
    <w:p w14:paraId="0694B78A" w14:textId="77777777" w:rsidR="005A7F8D" w:rsidRPr="005D73DA" w:rsidRDefault="005A7F8D">
      <w:pPr>
        <w:rPr>
          <w:rFonts w:asciiTheme="majorHAnsi" w:hAnsiTheme="majorHAnsi" w:cstheme="majorHAnsi"/>
        </w:rPr>
      </w:pPr>
    </w:p>
    <w:p w14:paraId="2ACD0927" w14:textId="26CDE99D" w:rsidR="00E952C9" w:rsidRPr="00626CCC" w:rsidRDefault="00E952C9" w:rsidP="00E952C9">
      <w:pPr>
        <w:pStyle w:val="Titulek"/>
        <w:keepNext/>
        <w:rPr>
          <w:rFonts w:asciiTheme="majorHAnsi" w:hAnsiTheme="majorHAnsi" w:cstheme="majorHAnsi"/>
          <w:color w:val="538135" w:themeColor="accent6" w:themeShade="BF"/>
          <w:sz w:val="28"/>
          <w:szCs w:val="28"/>
        </w:rPr>
      </w:pPr>
      <w:r w:rsidRPr="00626CCC">
        <w:rPr>
          <w:rFonts w:asciiTheme="majorHAnsi" w:hAnsiTheme="majorHAnsi" w:cstheme="majorHAnsi"/>
          <w:color w:val="538135" w:themeColor="accent6" w:themeShade="BF"/>
          <w:sz w:val="28"/>
          <w:szCs w:val="28"/>
        </w:rPr>
        <w:t>SWOT ANALÝZA Pracovní skupina polytechnika a digitalizace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7"/>
        <w:gridCol w:w="4337"/>
      </w:tblGrid>
      <w:tr w:rsidR="00450F09" w:rsidRPr="005D73DA" w14:paraId="33A6D64B" w14:textId="77777777" w:rsidTr="004C39C5">
        <w:trPr>
          <w:trHeight w:val="722"/>
        </w:trPr>
        <w:tc>
          <w:tcPr>
            <w:tcW w:w="4337" w:type="dxa"/>
            <w:shd w:val="clear" w:color="auto" w:fill="E2EFD9" w:themeFill="accent6" w:themeFillTint="33"/>
          </w:tcPr>
          <w:p w14:paraId="41961446" w14:textId="77777777" w:rsidR="00450F09" w:rsidRPr="005D73DA" w:rsidRDefault="00450F09" w:rsidP="005E5F16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Silné stránky </w:t>
            </w:r>
          </w:p>
          <w:p w14:paraId="656E041D" w14:textId="4E0A1A9E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Digitální gramotnost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48A0B50F" w14:textId="1C856004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Finanční podpora MŠMT (granty, projekty, dotace)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584EE933" w14:textId="01750556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Dostupné HW zařízení pro všechny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665520D1" w14:textId="021C289C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Řemeslná tradice, vztah k řemeslu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6AD8E337" w14:textId="65644E6A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Dostupnost komunikačních kanálů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1D91A766" w14:textId="17F42207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Dvě technické SŠ v regionu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58751DEB" w14:textId="77777777" w:rsid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lastRenderedPageBreak/>
              <w:t>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Široká síť firem s technickým zaměřením (TŽ)</w:t>
            </w:r>
          </w:p>
          <w:p w14:paraId="767745C3" w14:textId="15E0499F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Geografická poloha, možnost mezinárodní spolupráce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58BC4240" w14:textId="2F30CFF7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Postupné zavádění licenčních řešení ve školách (Microsoft 365+, Google…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0A5DFE68" w14:textId="5807CE86" w:rsidR="001C324F" w:rsidRPr="005D73DA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10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Nabídka dalšího vzdělávání pro učitele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4337" w:type="dxa"/>
          </w:tcPr>
          <w:p w14:paraId="52F5824B" w14:textId="77777777" w:rsidR="00450F09" w:rsidRPr="005D73DA" w:rsidRDefault="00450F09" w:rsidP="005E5F16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lastRenderedPageBreak/>
              <w:t xml:space="preserve">Slabé stránky </w:t>
            </w:r>
          </w:p>
          <w:p w14:paraId="6C2423EC" w14:textId="17AFF2A8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Snižující se zájem o řemeslné obory</w:t>
            </w:r>
          </w:p>
          <w:p w14:paraId="4182FB89" w14:textId="2568E8B2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Chybí prostory a materiály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58F898B3" w14:textId="5F11827A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 xml:space="preserve">ICT </w:t>
            </w:r>
            <w:r w:rsidR="008C7A22">
              <w:rPr>
                <w:rFonts w:asciiTheme="majorHAnsi" w:hAnsiTheme="majorHAnsi" w:cstheme="majorHAnsi"/>
              </w:rPr>
              <w:t>–</w:t>
            </w:r>
            <w:r w:rsidRPr="00DC5394">
              <w:rPr>
                <w:rFonts w:asciiTheme="majorHAnsi" w:hAnsiTheme="majorHAnsi" w:cstheme="majorHAnsi"/>
              </w:rPr>
              <w:t xml:space="preserve"> zvýšené nároky na digitální gramotnost pedagogů, žáků, rodičů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5406F460" w14:textId="3E627AED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Nízká priorita praktické výuky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29D9EF8D" w14:textId="6312B8DA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Chybí propojení s praxí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28C7C48C" w14:textId="604A6C78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lastRenderedPageBreak/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Chybí udržitelnost provozu, motivace vyučujících, odborníci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12CBFDE9" w14:textId="2230194D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Byrokratická zátěž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36D89F53" w14:textId="24F09984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 xml:space="preserve">Pokles </w:t>
            </w:r>
            <w:r w:rsidR="008C7A22" w:rsidRPr="00DC5394">
              <w:rPr>
                <w:rFonts w:asciiTheme="majorHAnsi" w:hAnsiTheme="majorHAnsi" w:cstheme="majorHAnsi"/>
              </w:rPr>
              <w:t>zručnosti</w:t>
            </w:r>
            <w:r w:rsidRPr="00DC5394">
              <w:rPr>
                <w:rFonts w:asciiTheme="majorHAnsi" w:hAnsiTheme="majorHAnsi" w:cstheme="majorHAnsi"/>
              </w:rPr>
              <w:t xml:space="preserve"> u dětí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2F64F82A" w14:textId="12239E8D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 xml:space="preserve">Technickou výchovu často </w:t>
            </w:r>
            <w:proofErr w:type="gramStart"/>
            <w:r w:rsidRPr="00DC5394">
              <w:rPr>
                <w:rFonts w:asciiTheme="majorHAnsi" w:hAnsiTheme="majorHAnsi" w:cstheme="majorHAnsi"/>
              </w:rPr>
              <w:t>učí</w:t>
            </w:r>
            <w:proofErr w:type="gramEnd"/>
            <w:r w:rsidRPr="00DC5394">
              <w:rPr>
                <w:rFonts w:asciiTheme="majorHAnsi" w:hAnsiTheme="majorHAnsi" w:cstheme="majorHAnsi"/>
              </w:rPr>
              <w:t xml:space="preserve"> neaprobovaní učitelé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660046BE" w14:textId="0B0D0DF2" w:rsidR="0000008C" w:rsidRPr="005D73DA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10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Nedostatečná konektivita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</w:tc>
      </w:tr>
      <w:tr w:rsidR="00450F09" w:rsidRPr="005D73DA" w14:paraId="1EAF9C3D" w14:textId="77777777" w:rsidTr="004C39C5">
        <w:trPr>
          <w:trHeight w:val="966"/>
        </w:trPr>
        <w:tc>
          <w:tcPr>
            <w:tcW w:w="4337" w:type="dxa"/>
          </w:tcPr>
          <w:p w14:paraId="2277CAF9" w14:textId="77777777" w:rsidR="00450F09" w:rsidRPr="00DC5394" w:rsidRDefault="00450F09" w:rsidP="005E5F16">
            <w:pPr>
              <w:rPr>
                <w:rFonts w:asciiTheme="majorHAnsi" w:hAnsiTheme="majorHAnsi" w:cstheme="majorHAnsi"/>
                <w:u w:val="single"/>
              </w:rPr>
            </w:pPr>
            <w:r w:rsidRPr="00DC5394">
              <w:rPr>
                <w:rFonts w:asciiTheme="majorHAnsi" w:hAnsiTheme="majorHAnsi" w:cstheme="majorHAnsi"/>
                <w:u w:val="single"/>
              </w:rPr>
              <w:lastRenderedPageBreak/>
              <w:t xml:space="preserve">Příležitosti </w:t>
            </w:r>
          </w:p>
          <w:p w14:paraId="290035C7" w14:textId="2AFA8694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Vytvoření společného sdíleného webu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081BC92C" w14:textId="54E26B80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Možnost využít digitální gramotnosti k rozvoji polytechnických dovednosti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2D01411A" w14:textId="5CA5EFC6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Externí agenda pro snížení byrokratické zátěže, správy ICT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242B4B0E" w14:textId="5CC7155E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Propojení praktické výuky a veřejného prostoru – pozitivní PR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2BEB0BF0" w14:textId="3DB2DB1D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Sdílení dobré praxe, metodická setkání</w:t>
            </w:r>
          </w:p>
          <w:p w14:paraId="39D38CD8" w14:textId="34F8892A" w:rsidR="00F150A0" w:rsidRPr="005D73DA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Zatím nevyužitý potenciál zahraniční spolupráce (Slovensko)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4337" w:type="dxa"/>
            <w:shd w:val="clear" w:color="auto" w:fill="E2EFD9" w:themeFill="accent6" w:themeFillTint="33"/>
          </w:tcPr>
          <w:p w14:paraId="03CF1A02" w14:textId="77777777" w:rsidR="00450F09" w:rsidRPr="00DC5394" w:rsidRDefault="00450F09" w:rsidP="005E5F16">
            <w:pPr>
              <w:rPr>
                <w:rFonts w:asciiTheme="majorHAnsi" w:hAnsiTheme="majorHAnsi" w:cstheme="majorHAnsi"/>
                <w:u w:val="single"/>
              </w:rPr>
            </w:pPr>
            <w:r w:rsidRPr="00DC5394">
              <w:rPr>
                <w:rFonts w:asciiTheme="majorHAnsi" w:hAnsiTheme="majorHAnsi" w:cstheme="majorHAnsi"/>
                <w:u w:val="single"/>
              </w:rPr>
              <w:t xml:space="preserve">Hrozby </w:t>
            </w:r>
          </w:p>
          <w:p w14:paraId="0A29FF71" w14:textId="3B695771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Nedostatečná pružnost a kreativita stávajících pedagogů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0839533E" w14:textId="30E0DEB2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Administrativní a časová zátěž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1A3B260D" w14:textId="5C10AB54" w:rsidR="00DC5394" w:rsidRPr="00DC5394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Pandemie (Covid), válečný konflikt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  <w:p w14:paraId="1CDB288E" w14:textId="67FC9454" w:rsidR="00A563AC" w:rsidRPr="005D73DA" w:rsidRDefault="00DC5394" w:rsidP="00DC5394">
            <w:pPr>
              <w:rPr>
                <w:rFonts w:asciiTheme="majorHAnsi" w:hAnsiTheme="majorHAnsi" w:cstheme="majorHAnsi"/>
              </w:rPr>
            </w:pPr>
            <w:r w:rsidRPr="00DC539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C5394">
              <w:rPr>
                <w:rFonts w:asciiTheme="majorHAnsi" w:hAnsiTheme="majorHAnsi" w:cstheme="majorHAnsi"/>
              </w:rPr>
              <w:t>Udržitelnost (finanční, materiální, lidské zdroje, technologie)</w:t>
            </w:r>
            <w:r w:rsidRPr="00DC5394">
              <w:rPr>
                <w:rFonts w:asciiTheme="majorHAnsi" w:hAnsiTheme="majorHAnsi" w:cstheme="majorHAnsi"/>
              </w:rPr>
              <w:tab/>
            </w:r>
          </w:p>
        </w:tc>
      </w:tr>
    </w:tbl>
    <w:p w14:paraId="6D4B6DD0" w14:textId="03683AE9" w:rsidR="004A0DCA" w:rsidRPr="005D73DA" w:rsidRDefault="004A0DCA">
      <w:pPr>
        <w:rPr>
          <w:rFonts w:asciiTheme="majorHAnsi" w:hAnsiTheme="majorHAnsi" w:cstheme="majorHAnsi"/>
        </w:rPr>
      </w:pPr>
    </w:p>
    <w:p w14:paraId="6A6B63DB" w14:textId="1DCA14D8" w:rsidR="00945922" w:rsidRPr="00626CCC" w:rsidRDefault="00945922" w:rsidP="00945922">
      <w:pPr>
        <w:pStyle w:val="Titulek"/>
        <w:keepNext/>
        <w:rPr>
          <w:rFonts w:asciiTheme="majorHAnsi" w:hAnsiTheme="majorHAnsi" w:cstheme="majorHAnsi"/>
          <w:color w:val="538135" w:themeColor="accent6" w:themeShade="BF"/>
          <w:sz w:val="28"/>
          <w:szCs w:val="28"/>
        </w:rPr>
      </w:pPr>
      <w:r w:rsidRPr="00626CCC">
        <w:rPr>
          <w:rFonts w:asciiTheme="majorHAnsi" w:hAnsiTheme="majorHAnsi" w:cstheme="majorHAnsi"/>
          <w:color w:val="538135" w:themeColor="accent6" w:themeShade="BF"/>
          <w:sz w:val="28"/>
          <w:szCs w:val="28"/>
        </w:rPr>
        <w:t>SWOT ANALÝZA Pracovní skupina pro rovné příležitosti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7"/>
        <w:gridCol w:w="4337"/>
      </w:tblGrid>
      <w:tr w:rsidR="002E673C" w:rsidRPr="005D73DA" w14:paraId="71013590" w14:textId="77777777" w:rsidTr="009E7A16">
        <w:trPr>
          <w:trHeight w:val="722"/>
        </w:trPr>
        <w:tc>
          <w:tcPr>
            <w:tcW w:w="4337" w:type="dxa"/>
            <w:shd w:val="clear" w:color="auto" w:fill="E2EFD9" w:themeFill="accent6" w:themeFillTint="33"/>
          </w:tcPr>
          <w:p w14:paraId="377F2B06" w14:textId="77777777" w:rsidR="002E673C" w:rsidRDefault="002E673C" w:rsidP="005E5F16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Silné stránky </w:t>
            </w:r>
          </w:p>
          <w:p w14:paraId="6661C011" w14:textId="6B53DF6F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Inkluzivní vzdělávání ve spádové oblasti</w:t>
            </w:r>
          </w:p>
          <w:p w14:paraId="4F12433C" w14:textId="7009F7BE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Dostatečná nabídka DVPP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0AAA46B1" w14:textId="3A92C61D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Nejsme sociálně vyloučená lokalita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4166AB60" w14:textId="0BAFA4EE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Množství druhů a typů podpůrných opatření</w:t>
            </w:r>
          </w:p>
          <w:p w14:paraId="295C1580" w14:textId="09D27EB7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Spolupráce s okolními organizacemi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57C3E109" w14:textId="23C4575F" w:rsidR="002E673C" w:rsidRPr="005D73DA" w:rsidRDefault="002E673C" w:rsidP="005E5F1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337" w:type="dxa"/>
          </w:tcPr>
          <w:p w14:paraId="109D06F8" w14:textId="77777777" w:rsidR="002E673C" w:rsidRPr="005D73DA" w:rsidRDefault="002E673C" w:rsidP="005E5F16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Slabé stránky </w:t>
            </w:r>
          </w:p>
          <w:p w14:paraId="3A04C56D" w14:textId="2DD3F6AD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Nedostatečné ohodnocení kvalifikovaných asistentů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313684EE" w14:textId="77777777" w:rsid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Nedostatečné zajištění odborných pracovníků (speciální pedagog, školní psycholog, kvalitní zkušený asistent pedagoga)</w:t>
            </w:r>
          </w:p>
          <w:p w14:paraId="58B8F0A9" w14:textId="16EA6F61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Nedostatek finančních prostředků na dovybavení pomůckami ZŠ a MŠ (PROJEKTY!)</w:t>
            </w:r>
          </w:p>
          <w:p w14:paraId="49F55A9C" w14:textId="09F1A8EE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Velký počet dětí na třídu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60B73F38" w14:textId="65D8E488" w:rsidR="00EF20BE" w:rsidRPr="005D73DA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Zavedený systém inkluze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</w:tc>
      </w:tr>
      <w:tr w:rsidR="002E673C" w:rsidRPr="005D73DA" w14:paraId="3530244A" w14:textId="77777777" w:rsidTr="009E7A16">
        <w:trPr>
          <w:trHeight w:val="966"/>
        </w:trPr>
        <w:tc>
          <w:tcPr>
            <w:tcW w:w="4337" w:type="dxa"/>
          </w:tcPr>
          <w:p w14:paraId="5670B692" w14:textId="77777777" w:rsidR="002E673C" w:rsidRDefault="002E673C" w:rsidP="005E5F16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t xml:space="preserve">Příležitosti </w:t>
            </w:r>
          </w:p>
          <w:p w14:paraId="5A3E0F70" w14:textId="0C2CD1D0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Multikulturní prostředí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19E324D1" w14:textId="241011BE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Možnost přípravných, speciálních a logo tříd</w:t>
            </w:r>
          </w:p>
          <w:p w14:paraId="3A081355" w14:textId="56AF745E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Možnost vzdělávání nadaných dětí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62DA8090" w14:textId="0CB0E176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lastRenderedPageBreak/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Další možnosti vzdělávání integrovaných dětí</w:t>
            </w:r>
          </w:p>
          <w:p w14:paraId="73830899" w14:textId="51E5631F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Využití různých dotačních titulů a programů</w:t>
            </w:r>
          </w:p>
          <w:p w14:paraId="1DDF1822" w14:textId="03B5009E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Předávání zkušeností, sdílení dobré praxe, konzultace s odborníky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3FF7E88D" w14:textId="7C1DE1C9" w:rsidR="005F357C" w:rsidRPr="005D73DA" w:rsidRDefault="005F357C" w:rsidP="005E5F1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337" w:type="dxa"/>
            <w:shd w:val="clear" w:color="auto" w:fill="E2EFD9" w:themeFill="accent6" w:themeFillTint="33"/>
          </w:tcPr>
          <w:p w14:paraId="24A12E75" w14:textId="77777777" w:rsidR="002E673C" w:rsidRPr="005D73DA" w:rsidRDefault="002E673C" w:rsidP="005E5F16">
            <w:pPr>
              <w:rPr>
                <w:rFonts w:asciiTheme="majorHAnsi" w:hAnsiTheme="majorHAnsi" w:cstheme="majorHAnsi"/>
                <w:u w:val="single"/>
              </w:rPr>
            </w:pPr>
            <w:r w:rsidRPr="005D73DA">
              <w:rPr>
                <w:rFonts w:asciiTheme="majorHAnsi" w:hAnsiTheme="majorHAnsi" w:cstheme="majorHAnsi"/>
                <w:u w:val="single"/>
              </w:rPr>
              <w:lastRenderedPageBreak/>
              <w:t xml:space="preserve">Hrozby </w:t>
            </w:r>
          </w:p>
          <w:p w14:paraId="0A33447B" w14:textId="4B5AA71D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 xml:space="preserve">Administrativní zátěž 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6BD6C7C5" w14:textId="2DD9E213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Zavedený systém inkluze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29BACD66" w14:textId="3CC57740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Syndrom vyhoření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7E668D34" w14:textId="0E61915C" w:rsidR="00406722" w:rsidRP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lastRenderedPageBreak/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Dlouhá čekací doba na vyšetření PPP, SPC, psychologů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  <w:p w14:paraId="08223449" w14:textId="77777777" w:rsidR="00406722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 xml:space="preserve">Hrozba neuplatnění </w:t>
            </w:r>
            <w:proofErr w:type="spellStart"/>
            <w:r w:rsidRPr="00406722">
              <w:rPr>
                <w:rFonts w:asciiTheme="majorHAnsi" w:hAnsiTheme="majorHAnsi" w:cstheme="majorHAnsi"/>
              </w:rPr>
              <w:t>inkludovaných</w:t>
            </w:r>
            <w:proofErr w:type="spellEnd"/>
            <w:r w:rsidRPr="00406722">
              <w:rPr>
                <w:rFonts w:asciiTheme="majorHAnsi" w:hAnsiTheme="majorHAnsi" w:cstheme="majorHAnsi"/>
              </w:rPr>
              <w:t xml:space="preserve"> žáků/dětí</w:t>
            </w:r>
          </w:p>
          <w:p w14:paraId="04EDE328" w14:textId="086C0E92" w:rsidR="002E673C" w:rsidRPr="005D73DA" w:rsidRDefault="00406722" w:rsidP="00406722">
            <w:pPr>
              <w:rPr>
                <w:rFonts w:asciiTheme="majorHAnsi" w:hAnsiTheme="majorHAnsi" w:cstheme="majorHAnsi"/>
              </w:rPr>
            </w:pPr>
            <w:r w:rsidRPr="00406722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06722">
              <w:rPr>
                <w:rFonts w:asciiTheme="majorHAnsi" w:hAnsiTheme="majorHAnsi" w:cstheme="majorHAnsi"/>
              </w:rPr>
              <w:t>Různá kvalita DVPP, finančně náročná</w:t>
            </w:r>
            <w:r w:rsidRPr="00406722">
              <w:rPr>
                <w:rFonts w:asciiTheme="majorHAnsi" w:hAnsiTheme="majorHAnsi" w:cstheme="majorHAnsi"/>
              </w:rPr>
              <w:tab/>
            </w:r>
          </w:p>
        </w:tc>
      </w:tr>
    </w:tbl>
    <w:p w14:paraId="3D170748" w14:textId="77777777" w:rsidR="002E673C" w:rsidRDefault="002E673C"/>
    <w:sectPr w:rsidR="002E673C" w:rsidSect="00244482">
      <w:headerReference w:type="default" r:id="rId12"/>
      <w:footerReference w:type="default" r:id="rId13"/>
      <w:pgSz w:w="11906" w:h="16838"/>
      <w:pgMar w:top="1417" w:right="1417" w:bottom="1417" w:left="1417" w:header="708" w:footer="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310C7" w14:textId="77777777" w:rsidR="009F785B" w:rsidRDefault="009F785B" w:rsidP="009E7A16">
      <w:pPr>
        <w:spacing w:after="0" w:line="240" w:lineRule="auto"/>
      </w:pPr>
      <w:r>
        <w:separator/>
      </w:r>
    </w:p>
  </w:endnote>
  <w:endnote w:type="continuationSeparator" w:id="0">
    <w:p w14:paraId="7092A410" w14:textId="77777777" w:rsidR="009F785B" w:rsidRDefault="009F785B" w:rsidP="009E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ue Haas Grotesk Text Pro">
    <w:panose1 w:val="020B050402020202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F8393" w14:textId="27355DA5" w:rsidR="00A737B8" w:rsidRDefault="00244482" w:rsidP="00701CDF">
    <w:pPr>
      <w:pStyle w:val="Zpat"/>
      <w:tabs>
        <w:tab w:val="clear" w:pos="4536"/>
        <w:tab w:val="clear" w:pos="9072"/>
        <w:tab w:val="left" w:pos="5040"/>
        <w:tab w:val="left" w:pos="5820"/>
      </w:tabs>
    </w:pPr>
    <w:r>
      <w:rPr>
        <w:noProof/>
      </w:rPr>
      <w:drawing>
        <wp:inline distT="0" distB="0" distL="0" distR="0" wp14:anchorId="585EC84F" wp14:editId="00C88224">
          <wp:extent cx="5760720" cy="601280"/>
          <wp:effectExtent l="0" t="0" r="0" b="8890"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1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1CDF">
      <w:rPr>
        <w:noProof/>
      </w:rPr>
      <w:drawing>
        <wp:anchor distT="0" distB="0" distL="114300" distR="114300" simplePos="0" relativeHeight="251660288" behindDoc="1" locked="0" layoutInCell="1" allowOverlap="1" wp14:anchorId="4D8127AC" wp14:editId="2D4F4FDF">
          <wp:simplePos x="0" y="0"/>
          <wp:positionH relativeFrom="margin">
            <wp:posOffset>1223010</wp:posOffset>
          </wp:positionH>
          <wp:positionV relativeFrom="paragraph">
            <wp:posOffset>3544570</wp:posOffset>
          </wp:positionV>
          <wp:extent cx="6316980" cy="662940"/>
          <wp:effectExtent l="0" t="0" r="0" b="0"/>
          <wp:wrapNone/>
          <wp:docPr id="2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698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1CD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FDAE5" w14:textId="77777777" w:rsidR="009F785B" w:rsidRDefault="009F785B" w:rsidP="009E7A16">
      <w:pPr>
        <w:spacing w:after="0" w:line="240" w:lineRule="auto"/>
      </w:pPr>
      <w:r>
        <w:separator/>
      </w:r>
    </w:p>
  </w:footnote>
  <w:footnote w:type="continuationSeparator" w:id="0">
    <w:p w14:paraId="2D5A1F6D" w14:textId="77777777" w:rsidR="009F785B" w:rsidRDefault="009F785B" w:rsidP="009E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1DB9" w14:textId="206B4BAE" w:rsidR="00412414" w:rsidRPr="00412414" w:rsidRDefault="00ED2994" w:rsidP="00ED2994">
    <w:pPr>
      <w:tabs>
        <w:tab w:val="center" w:pos="4536"/>
        <w:tab w:val="right" w:pos="9072"/>
      </w:tabs>
      <w:spacing w:after="0" w:line="240" w:lineRule="auto"/>
      <w:jc w:val="right"/>
      <w:rPr>
        <w:rFonts w:asciiTheme="majorHAnsi" w:hAnsiTheme="majorHAnsi" w:cstheme="majorHAnsi"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D97B519" wp14:editId="286B56A5">
          <wp:simplePos x="0" y="0"/>
          <wp:positionH relativeFrom="column">
            <wp:posOffset>-278130</wp:posOffset>
          </wp:positionH>
          <wp:positionV relativeFrom="paragraph">
            <wp:posOffset>-313902</wp:posOffset>
          </wp:positionV>
          <wp:extent cx="3522189" cy="781544"/>
          <wp:effectExtent l="0" t="0" r="2540" b="0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2189" cy="781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2414" w:rsidRPr="00412414">
      <w:rPr>
        <w:rFonts w:asciiTheme="majorHAnsi" w:hAnsiTheme="majorHAnsi" w:cstheme="majorHAnsi"/>
        <w:bCs/>
        <w:sz w:val="16"/>
        <w:szCs w:val="16"/>
      </w:rPr>
      <w:t xml:space="preserve">Místní akční plán pro ORP Jablunkov </w:t>
    </w:r>
    <w:r w:rsidR="002F12B1">
      <w:rPr>
        <w:rFonts w:asciiTheme="majorHAnsi" w:hAnsiTheme="majorHAnsi" w:cstheme="majorHAnsi"/>
        <w:bCs/>
        <w:sz w:val="16"/>
        <w:szCs w:val="16"/>
      </w:rPr>
      <w:t>I</w:t>
    </w:r>
    <w:r w:rsidR="00412414" w:rsidRPr="00412414">
      <w:rPr>
        <w:rFonts w:asciiTheme="majorHAnsi" w:hAnsiTheme="majorHAnsi" w:cstheme="majorHAnsi"/>
        <w:bCs/>
        <w:sz w:val="16"/>
        <w:szCs w:val="16"/>
      </w:rPr>
      <w:t>II</w:t>
    </w:r>
  </w:p>
  <w:p w14:paraId="30C281CB" w14:textId="1D2DE042" w:rsidR="009E7A16" w:rsidRDefault="00412414" w:rsidP="00412414">
    <w:pPr>
      <w:pStyle w:val="Zhlav"/>
      <w:jc w:val="right"/>
    </w:pPr>
    <w:proofErr w:type="spellStart"/>
    <w:r w:rsidRPr="00412414">
      <w:rPr>
        <w:rFonts w:asciiTheme="majorHAnsi" w:hAnsiTheme="majorHAnsi" w:cstheme="majorHAnsi"/>
        <w:bCs/>
        <w:sz w:val="16"/>
        <w:szCs w:val="16"/>
      </w:rPr>
      <w:t>reg</w:t>
    </w:r>
    <w:proofErr w:type="spellEnd"/>
    <w:r w:rsidRPr="00412414">
      <w:rPr>
        <w:rFonts w:asciiTheme="majorHAnsi" w:hAnsiTheme="majorHAnsi" w:cstheme="majorHAnsi"/>
        <w:bCs/>
        <w:sz w:val="16"/>
        <w:szCs w:val="16"/>
      </w:rPr>
      <w:t xml:space="preserve">. č.: </w:t>
    </w:r>
    <w:r w:rsidR="002F12B1" w:rsidRPr="002F12B1">
      <w:rPr>
        <w:rFonts w:asciiTheme="majorHAnsi" w:hAnsiTheme="majorHAnsi" w:cstheme="majorHAnsi"/>
        <w:bCs/>
        <w:sz w:val="16"/>
        <w:szCs w:val="16"/>
      </w:rPr>
      <w:t>CZ.02.3.68/0.0/0.0/20_082/0023094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E1"/>
    <w:rsid w:val="0000008C"/>
    <w:rsid w:val="0000640E"/>
    <w:rsid w:val="00024280"/>
    <w:rsid w:val="00030BA9"/>
    <w:rsid w:val="00033D67"/>
    <w:rsid w:val="00051CD0"/>
    <w:rsid w:val="00065D12"/>
    <w:rsid w:val="00067E2E"/>
    <w:rsid w:val="00074D11"/>
    <w:rsid w:val="00116FD4"/>
    <w:rsid w:val="001266C4"/>
    <w:rsid w:val="00182F7D"/>
    <w:rsid w:val="001A1645"/>
    <w:rsid w:val="001A2BB9"/>
    <w:rsid w:val="001A73B1"/>
    <w:rsid w:val="001C324F"/>
    <w:rsid w:val="001C35E1"/>
    <w:rsid w:val="00203A8A"/>
    <w:rsid w:val="00244482"/>
    <w:rsid w:val="0024624C"/>
    <w:rsid w:val="00256E77"/>
    <w:rsid w:val="00271801"/>
    <w:rsid w:val="00292174"/>
    <w:rsid w:val="002A621F"/>
    <w:rsid w:val="002E673C"/>
    <w:rsid w:val="002F12B1"/>
    <w:rsid w:val="002F137D"/>
    <w:rsid w:val="00310E08"/>
    <w:rsid w:val="003224F1"/>
    <w:rsid w:val="00324E7F"/>
    <w:rsid w:val="00326BC8"/>
    <w:rsid w:val="00356C17"/>
    <w:rsid w:val="003766EF"/>
    <w:rsid w:val="004025C6"/>
    <w:rsid w:val="00406722"/>
    <w:rsid w:val="0041039B"/>
    <w:rsid w:val="00412414"/>
    <w:rsid w:val="00434E37"/>
    <w:rsid w:val="00450F09"/>
    <w:rsid w:val="00453172"/>
    <w:rsid w:val="0045329C"/>
    <w:rsid w:val="004655F3"/>
    <w:rsid w:val="0049648A"/>
    <w:rsid w:val="004A0DCA"/>
    <w:rsid w:val="004B607F"/>
    <w:rsid w:val="004C39C5"/>
    <w:rsid w:val="004C6A61"/>
    <w:rsid w:val="004D4347"/>
    <w:rsid w:val="004D4F5C"/>
    <w:rsid w:val="004F6677"/>
    <w:rsid w:val="0050382E"/>
    <w:rsid w:val="005112D8"/>
    <w:rsid w:val="00541366"/>
    <w:rsid w:val="005944E9"/>
    <w:rsid w:val="005A7F8D"/>
    <w:rsid w:val="005D73DA"/>
    <w:rsid w:val="005E06F1"/>
    <w:rsid w:val="005F357C"/>
    <w:rsid w:val="00602808"/>
    <w:rsid w:val="00626CCC"/>
    <w:rsid w:val="00692129"/>
    <w:rsid w:val="006955B9"/>
    <w:rsid w:val="006B01E5"/>
    <w:rsid w:val="007005DD"/>
    <w:rsid w:val="00701CDF"/>
    <w:rsid w:val="007A46CB"/>
    <w:rsid w:val="008315C3"/>
    <w:rsid w:val="008C7A22"/>
    <w:rsid w:val="008F0AF6"/>
    <w:rsid w:val="009116BC"/>
    <w:rsid w:val="00925175"/>
    <w:rsid w:val="00945922"/>
    <w:rsid w:val="00984AE5"/>
    <w:rsid w:val="009B142C"/>
    <w:rsid w:val="009B57EA"/>
    <w:rsid w:val="009D4640"/>
    <w:rsid w:val="009E5BB6"/>
    <w:rsid w:val="009E7A16"/>
    <w:rsid w:val="009F785B"/>
    <w:rsid w:val="00A47BA3"/>
    <w:rsid w:val="00A563AC"/>
    <w:rsid w:val="00A7209B"/>
    <w:rsid w:val="00A737B8"/>
    <w:rsid w:val="00A929F8"/>
    <w:rsid w:val="00AA0D3C"/>
    <w:rsid w:val="00AF2912"/>
    <w:rsid w:val="00AF5CE1"/>
    <w:rsid w:val="00B0521D"/>
    <w:rsid w:val="00B0621D"/>
    <w:rsid w:val="00B9293B"/>
    <w:rsid w:val="00BC111D"/>
    <w:rsid w:val="00BD4289"/>
    <w:rsid w:val="00BE49A0"/>
    <w:rsid w:val="00BE56C7"/>
    <w:rsid w:val="00BF5BD0"/>
    <w:rsid w:val="00C0753F"/>
    <w:rsid w:val="00C22F5E"/>
    <w:rsid w:val="00C43223"/>
    <w:rsid w:val="00C5385C"/>
    <w:rsid w:val="00C91EDE"/>
    <w:rsid w:val="00C92AD0"/>
    <w:rsid w:val="00CB3353"/>
    <w:rsid w:val="00CC2B2E"/>
    <w:rsid w:val="00CF6614"/>
    <w:rsid w:val="00D4791C"/>
    <w:rsid w:val="00DC5394"/>
    <w:rsid w:val="00E00A53"/>
    <w:rsid w:val="00E16E6D"/>
    <w:rsid w:val="00E53201"/>
    <w:rsid w:val="00E66DA1"/>
    <w:rsid w:val="00E913F4"/>
    <w:rsid w:val="00E952C9"/>
    <w:rsid w:val="00ED2994"/>
    <w:rsid w:val="00EF20BE"/>
    <w:rsid w:val="00F07796"/>
    <w:rsid w:val="00F150A0"/>
    <w:rsid w:val="00F66775"/>
    <w:rsid w:val="00FB18B4"/>
    <w:rsid w:val="00FD3D09"/>
    <w:rsid w:val="00FE4A50"/>
    <w:rsid w:val="00FF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5B5E6"/>
  <w15:chartTrackingRefBased/>
  <w15:docId w15:val="{9DEC0CFA-D3AB-4059-9E3D-40442CAF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12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45329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E7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7A16"/>
  </w:style>
  <w:style w:type="paragraph" w:styleId="Zpat">
    <w:name w:val="footer"/>
    <w:basedOn w:val="Normln"/>
    <w:link w:val="ZpatChar"/>
    <w:uiPriority w:val="99"/>
    <w:unhideWhenUsed/>
    <w:rsid w:val="009E7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7A16"/>
  </w:style>
  <w:style w:type="character" w:styleId="Odkaznakoment">
    <w:name w:val="annotation reference"/>
    <w:basedOn w:val="Standardnpsmoodstavce"/>
    <w:uiPriority w:val="99"/>
    <w:semiHidden/>
    <w:unhideWhenUsed/>
    <w:rsid w:val="00B929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929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293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29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29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4" ma:contentTypeDescription="Vytvoří nový dokument" ma:contentTypeScope="" ma:versionID="cf42172167cdae61c331c3bfd1a65550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93063541d79acfe348d8205ef3caff0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D4DC0-7121-4400-A4F9-DC4DFEB83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4f97eb-5d28-49eb-8972-8f8a2972c649"/>
    <ds:schemaRef ds:uri="d832f99a-ec35-48f4-becb-5276efe12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9E7BC4-6261-472D-AB30-7A2C60B1AC1D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customXml/itemProps3.xml><?xml version="1.0" encoding="utf-8"?>
<ds:datastoreItem xmlns:ds="http://schemas.openxmlformats.org/officeDocument/2006/customXml" ds:itemID="{4D3E8DF3-9079-4C6E-8A72-98886FA543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1745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 Jablunkov</dc:creator>
  <cp:keywords/>
  <dc:description/>
  <cp:lastModifiedBy>Lucie Trombiková</cp:lastModifiedBy>
  <cp:revision>116</cp:revision>
  <dcterms:created xsi:type="dcterms:W3CDTF">2022-08-16T12:44:00Z</dcterms:created>
  <dcterms:modified xsi:type="dcterms:W3CDTF">2023-11-26T00:06:00Z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